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金融学</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numPr>
          <w:ilvl w:val="0"/>
          <w:numId w:val="1"/>
        </w:num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学科基础</w:t>
            </w:r>
            <w:r>
              <w:rPr>
                <w:rFonts w:hint="eastAsia" w:cs="Times New Roman"/>
                <w:color w:val="000000" w:themeColor="text1"/>
                <w:sz w:val="21"/>
                <w:szCs w:val="21"/>
                <w14:textFill>
                  <w14:solidFill>
                    <w14:schemeClr w14:val="tx1"/>
                  </w14:solidFill>
                </w14:textFill>
              </w:rPr>
              <w:t>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sz w:val="21"/>
                <w:szCs w:val="21"/>
                <w:lang w:val="en-US" w:eastAsia="zh-CN"/>
              </w:rPr>
              <w:t>金融学</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Finance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w:t>
            </w:r>
            <w:r>
              <w:rPr>
                <w:rFonts w:hint="eastAsia" w:cs="PMingLiU"/>
                <w:color w:val="000000" w:themeColor="text1"/>
                <w:sz w:val="21"/>
                <w:szCs w:val="21"/>
                <w:lang w:val="en-US" w:eastAsia="zh-CN"/>
                <w14:textFill>
                  <w14:solidFill>
                    <w14:schemeClr w14:val="tx1"/>
                  </w14:solidFill>
                </w14:textFill>
              </w:rPr>
              <w:t>3XB03E</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电子商务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微观经济学、宏观经济学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14:textFill>
                  <w14:solidFill>
                    <w14:schemeClr w14:val="tx1"/>
                  </w14:solidFill>
                </w14:textFill>
              </w:rPr>
              <w:t>4</w:t>
            </w: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实训</w:t>
            </w:r>
            <w:r>
              <w:rPr>
                <w:rFonts w:hint="eastAsia" w:cs="PMingLiU"/>
                <w:color w:val="000000" w:themeColor="text1"/>
                <w:sz w:val="21"/>
                <w:szCs w:val="21"/>
                <w14:textFill>
                  <w14:solidFill>
                    <w14:schemeClr w14:val="tx1"/>
                  </w14:solidFill>
                </w14:textFill>
              </w:rPr>
              <w:t>学时</w:t>
            </w:r>
            <w:r>
              <w:rPr>
                <w:rFonts w:hint="eastAsia" w:cs="PMingLiU"/>
                <w:color w:val="000000" w:themeColor="text1"/>
                <w:sz w:val="21"/>
                <w:szCs w:val="21"/>
                <w:lang w:val="en-US" w:eastAsia="zh-CN"/>
                <w14:textFill>
                  <w14:solidFill>
                    <w14:schemeClr w14:val="tx1"/>
                  </w14:solidFill>
                </w14:textFill>
              </w:rPr>
              <w:t xml:space="preserve">  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金融与贸易学院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sz w:val="21"/>
          <w:szCs w:val="21"/>
        </w:rPr>
        <w:t>《</w:t>
      </w:r>
      <w:r>
        <w:rPr>
          <w:rFonts w:hint="eastAsia"/>
          <w:sz w:val="21"/>
          <w:szCs w:val="21"/>
          <w:lang w:val="en-US" w:eastAsia="zh-CN"/>
        </w:rPr>
        <w:t>金融学</w:t>
      </w:r>
      <w:r>
        <w:rPr>
          <w:rFonts w:hint="eastAsia"/>
          <w:sz w:val="21"/>
          <w:szCs w:val="21"/>
        </w:rPr>
        <w:t>》是高等</w:t>
      </w:r>
      <w:r>
        <w:rPr>
          <w:rFonts w:hint="eastAsia"/>
          <w:sz w:val="21"/>
          <w:szCs w:val="21"/>
          <w:lang w:val="en-US" w:eastAsia="zh-CN"/>
        </w:rPr>
        <w:t>院校电子商务</w:t>
      </w:r>
      <w:r>
        <w:rPr>
          <w:rFonts w:hint="eastAsia"/>
          <w:sz w:val="21"/>
          <w:szCs w:val="21"/>
        </w:rPr>
        <w:t>专业一门重要的专业基础课程，是后续专业课程学习的重要基础。《</w:t>
      </w:r>
      <w:r>
        <w:rPr>
          <w:rFonts w:hint="eastAsia"/>
          <w:sz w:val="21"/>
          <w:szCs w:val="21"/>
          <w:lang w:val="en-US" w:eastAsia="zh-CN"/>
        </w:rPr>
        <w:t>金融学</w:t>
      </w:r>
      <w:r>
        <w:rPr>
          <w:rFonts w:hint="eastAsia"/>
          <w:sz w:val="21"/>
          <w:szCs w:val="21"/>
        </w:rPr>
        <w:t>》以</w:t>
      </w:r>
      <w:r>
        <w:rPr>
          <w:rFonts w:hint="eastAsia"/>
          <w:sz w:val="21"/>
          <w:szCs w:val="21"/>
          <w:lang w:val="en-US" w:eastAsia="zh-CN"/>
        </w:rPr>
        <w:t>金融最原始的功能——沟通资金盈余者与短缺着之间的桥梁为切入点</w:t>
      </w:r>
      <w:r>
        <w:rPr>
          <w:rFonts w:hint="eastAsia"/>
          <w:sz w:val="21"/>
          <w:szCs w:val="21"/>
        </w:rPr>
        <w:t>，</w:t>
      </w:r>
      <w:r>
        <w:rPr>
          <w:rFonts w:hint="eastAsia"/>
          <w:sz w:val="21"/>
          <w:szCs w:val="21"/>
          <w:lang w:val="en-US" w:eastAsia="zh-CN"/>
        </w:rPr>
        <w:t>运用经济学原理建立分析框架，帮助学生在了解货币、信用、利率等专业术语基础上，理解金融市场结构、金融机构管理以及货币政策在经济中的作用等问题。</w:t>
      </w:r>
      <w:r>
        <w:rPr>
          <w:rFonts w:hint="eastAsia"/>
          <w:sz w:val="21"/>
          <w:szCs w:val="21"/>
        </w:rPr>
        <w:t>培养学生</w:t>
      </w:r>
      <w:r>
        <w:rPr>
          <w:rFonts w:hint="eastAsia"/>
          <w:sz w:val="21"/>
          <w:szCs w:val="21"/>
          <w:lang w:val="en-US" w:eastAsia="zh-CN"/>
        </w:rPr>
        <w:t>运用经济学和金融学的思维方式理解千变万化的金融现象，提升分析、判断和解决问题的能力。金融学是一门致用之学，它在向我们传递金融学基本原理的同时更注重解释现实，并将之运用于中国的实践。</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ind w:firstLine="210" w:firstLineChars="100"/>
              <w:rPr>
                <w:rFonts w:ascii="宋体" w:hAnsi="宋体" w:eastAsia="宋体" w:cs="宋体"/>
                <w:sz w:val="21"/>
                <w:szCs w:val="21"/>
                <w:lang w:val="en-US" w:eastAsia="zh-CN" w:bidi="ar-SA"/>
              </w:rPr>
            </w:pPr>
            <w:r>
              <w:rPr>
                <w:rFonts w:hint="eastAsia" w:ascii="DFKai-SB" w:hAnsi="DFKai-SB"/>
                <w:sz w:val="21"/>
                <w:szCs w:val="21"/>
                <w:lang w:val="en-US" w:eastAsia="zh-CN"/>
              </w:rPr>
              <w:t>学生能够全面、系统地理解并掌握货币信用、金融机构、金融市场和金融宏观调控等方面的基本概念和专业术语</w:t>
            </w:r>
          </w:p>
        </w:tc>
        <w:tc>
          <w:tcPr>
            <w:tcW w:w="2721" w:type="dxa"/>
            <w:vAlign w:val="center"/>
          </w:tcPr>
          <w:p>
            <w:pPr>
              <w:rPr>
                <w:rFonts w:hint="eastAsia"/>
              </w:rPr>
            </w:pPr>
          </w:p>
          <w:p>
            <w:pPr>
              <w:rPr>
                <w:rFonts w:ascii="宋体" w:hAnsi="宋体" w:eastAsia="宋体" w:cs="宋体"/>
                <w:color w:val="000000"/>
                <w:sz w:val="21"/>
                <w:szCs w:val="21"/>
                <w:lang w:val="en-US" w:eastAsia="zh-CN" w:bidi="ar-SA"/>
              </w:rPr>
            </w:pPr>
            <w:r>
              <w:rPr>
                <w:rFonts w:hint="eastAsia"/>
                <w:lang w:val="en-US" w:eastAsia="zh-CN"/>
              </w:rPr>
              <w:t>4-1：</w:t>
            </w:r>
            <w:r>
              <w:rPr>
                <w:rFonts w:hint="eastAsia"/>
              </w:rPr>
              <w:t>掌握现代管理、经济学、信息技术的基础理论和专业知识</w:t>
            </w:r>
            <w:r>
              <w:rPr>
                <w:rFonts w:hint="eastAsia"/>
                <w:lang w:eastAsia="zh-CN"/>
              </w:rPr>
              <w:t>。</w:t>
            </w:r>
          </w:p>
        </w:tc>
        <w:tc>
          <w:tcPr>
            <w:tcW w:w="1815" w:type="dxa"/>
            <w:vAlign w:val="center"/>
          </w:tcPr>
          <w:p>
            <w:pPr>
              <w:numPr>
                <w:ilvl w:val="0"/>
                <w:numId w:val="0"/>
              </w:numPr>
              <w:shd w:val="clear" w:color="auto" w:fill="FFFFFF"/>
              <w:spacing w:before="75" w:after="75"/>
              <w:ind w:left="0" w:leftChars="0" w:right="75" w:rightChars="0" w:firstLine="0" w:firstLineChars="0"/>
              <w:rPr>
                <w:rFonts w:hint="default" w:ascii="宋体" w:hAnsi="宋体" w:eastAsia="宋体" w:cs="宋体"/>
                <w:color w:val="000000"/>
                <w:sz w:val="21"/>
                <w:szCs w:val="21"/>
                <w:lang w:val="en-US" w:eastAsia="zh-CN" w:bidi="ar-SA"/>
              </w:rPr>
            </w:pPr>
            <w:r>
              <w:rPr>
                <w:rFonts w:hint="eastAsia"/>
                <w:color w:val="000000"/>
                <w:sz w:val="21"/>
                <w:szCs w:val="21"/>
                <w:lang w:val="en-US" w:eastAsia="zh-CN"/>
              </w:rPr>
              <w:t>4.</w:t>
            </w:r>
            <w:r>
              <w:rPr>
                <w:rFonts w:hint="eastAsia"/>
                <w:color w:val="000000"/>
                <w:sz w:val="21"/>
                <w:szCs w:val="21"/>
              </w:rPr>
              <w:t>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Merge w:val="continue"/>
            <w:vAlign w:val="center"/>
          </w:tcPr>
          <w:p>
            <w:pPr>
              <w:tabs>
                <w:tab w:val="left" w:pos="1440"/>
              </w:tabs>
              <w:jc w:val="center"/>
              <w:outlineLvl w:val="0"/>
              <w:rPr>
                <w:rFonts w:hint="eastAsia"/>
                <w:b/>
                <w:color w:val="000000" w:themeColor="text1"/>
                <w14:textFill>
                  <w14:solidFill>
                    <w14:schemeClr w14:val="tx1"/>
                  </w14:solidFill>
                </w14:textFill>
              </w:rPr>
            </w:pPr>
          </w:p>
        </w:tc>
        <w:tc>
          <w:tcPr>
            <w:tcW w:w="3827" w:type="dxa"/>
            <w:vAlign w:val="center"/>
          </w:tcPr>
          <w:p>
            <w:pPr>
              <w:rPr>
                <w:rFonts w:hint="eastAsia" w:ascii="DFKai-SB" w:hAnsi="DFKai-SB"/>
                <w:sz w:val="21"/>
                <w:szCs w:val="21"/>
                <w:lang w:val="en-US" w:eastAsia="zh-CN"/>
              </w:rPr>
            </w:pPr>
            <w:r>
              <w:rPr>
                <w:rFonts w:hint="eastAsia" w:ascii="DFKai-SB" w:hAnsi="DFKai-SB"/>
                <w:b/>
                <w:bCs/>
                <w:sz w:val="21"/>
                <w:szCs w:val="21"/>
                <w:lang w:val="en-US" w:eastAsia="zh-CN"/>
              </w:rPr>
              <w:t>目标2</w:t>
            </w:r>
            <w:r>
              <w:rPr>
                <w:rFonts w:hint="eastAsia" w:ascii="DFKai-SB" w:hAnsi="DFKai-SB"/>
                <w:sz w:val="21"/>
                <w:szCs w:val="21"/>
                <w:lang w:val="en-US" w:eastAsia="zh-CN"/>
              </w:rPr>
              <w:t>：</w:t>
            </w:r>
          </w:p>
          <w:p>
            <w:pPr>
              <w:rPr>
                <w:rFonts w:hint="eastAsia" w:ascii="DFKai-SB" w:hAnsi="DFKai-SB" w:eastAsia="宋体" w:cs="宋体"/>
                <w:sz w:val="21"/>
                <w:szCs w:val="21"/>
                <w:lang w:val="en-US" w:eastAsia="zh-CN" w:bidi="ar-SA"/>
              </w:rPr>
            </w:pPr>
            <w:r>
              <w:rPr>
                <w:rFonts w:hint="eastAsia" w:ascii="DFKai-SB" w:hAnsi="DFKai-SB"/>
                <w:sz w:val="21"/>
                <w:szCs w:val="21"/>
                <w:lang w:val="en-US" w:eastAsia="zh-CN"/>
              </w:rPr>
              <w:t xml:space="preserve">  学生需熟悉并掌握金融市场、金融机构、货币需求与货币共给、货币政策等的基本理论和方法</w:t>
            </w:r>
          </w:p>
        </w:tc>
        <w:tc>
          <w:tcPr>
            <w:tcW w:w="2721" w:type="dxa"/>
            <w:vAlign w:val="center"/>
          </w:tcPr>
          <w:p>
            <w:pPr>
              <w:spacing w:line="360" w:lineRule="auto"/>
              <w:rPr>
                <w:rFonts w:ascii="宋体" w:hAnsi="宋体" w:eastAsia="宋体" w:cs="宋体"/>
                <w:color w:val="000000"/>
                <w:sz w:val="21"/>
                <w:szCs w:val="21"/>
                <w:lang w:val="en-US" w:eastAsia="zh-CN" w:bidi="ar-SA"/>
              </w:rPr>
            </w:pPr>
            <w:r>
              <w:rPr>
                <w:rFonts w:hint="eastAsia"/>
                <w:lang w:val="en-US" w:eastAsia="zh-CN"/>
              </w:rPr>
              <w:t>5-2：掌握电子商务活动中各环节所涉及专门知识的基本原理。</w:t>
            </w:r>
          </w:p>
        </w:tc>
        <w:tc>
          <w:tcPr>
            <w:tcW w:w="1815" w:type="dxa"/>
            <w:vAlign w:val="center"/>
          </w:tcPr>
          <w:p>
            <w:pPr>
              <w:numPr>
                <w:ilvl w:val="0"/>
                <w:numId w:val="0"/>
              </w:numPr>
              <w:shd w:val="clear" w:color="auto" w:fill="FFFFFF"/>
              <w:spacing w:before="75" w:after="75"/>
              <w:ind w:left="0" w:leftChars="0" w:right="75" w:rightChars="0" w:firstLine="0" w:firstLineChars="0"/>
              <w:rPr>
                <w:rFonts w:hint="default" w:ascii="宋体" w:hAnsi="宋体" w:eastAsia="宋体" w:cs="宋体"/>
                <w:color w:val="000000"/>
                <w:sz w:val="21"/>
                <w:szCs w:val="21"/>
                <w:lang w:val="en-US" w:eastAsia="zh-CN" w:bidi="ar-SA"/>
              </w:rPr>
            </w:pPr>
            <w:r>
              <w:rPr>
                <w:rFonts w:hint="eastAsia" w:cs="宋体"/>
                <w:color w:val="000000"/>
                <w:sz w:val="21"/>
                <w:szCs w:val="21"/>
                <w:lang w:val="en-US" w:eastAsia="zh-CN" w:bidi="ar-SA"/>
              </w:rPr>
              <w:t>5.专业性知识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bCs/>
                <w:sz w:val="21"/>
                <w:szCs w:val="21"/>
              </w:rPr>
            </w:pPr>
          </w:p>
          <w:p>
            <w:pPr>
              <w:tabs>
                <w:tab w:val="left" w:pos="1440"/>
              </w:tabs>
              <w:outlineLvl w:val="0"/>
              <w:rPr>
                <w:rFonts w:hint="eastAsia"/>
                <w:b/>
                <w:bCs/>
                <w:sz w:val="21"/>
                <w:szCs w:val="21"/>
              </w:rPr>
            </w:pPr>
            <w:r>
              <w:rPr>
                <w:rFonts w:hint="eastAsia"/>
                <w:b/>
                <w:bCs/>
                <w:sz w:val="21"/>
                <w:szCs w:val="21"/>
              </w:rPr>
              <w:t>目标</w:t>
            </w:r>
            <w:r>
              <w:rPr>
                <w:rFonts w:hint="eastAsia"/>
                <w:b/>
                <w:bCs/>
                <w:sz w:val="21"/>
                <w:szCs w:val="21"/>
                <w:lang w:val="en-US" w:eastAsia="zh-CN"/>
              </w:rPr>
              <w:t>3</w:t>
            </w:r>
            <w:r>
              <w:rPr>
                <w:rFonts w:hint="eastAsia"/>
                <w:b/>
                <w:bCs/>
                <w:sz w:val="21"/>
                <w:szCs w:val="21"/>
              </w:rPr>
              <w:t>：</w:t>
            </w:r>
          </w:p>
          <w:p>
            <w:pPr>
              <w:tabs>
                <w:tab w:val="left" w:pos="1440"/>
              </w:tabs>
              <w:ind w:firstLine="420" w:firstLineChars="200"/>
              <w:outlineLvl w:val="0"/>
              <w:rPr>
                <w:rFonts w:hint="eastAsia"/>
                <w:b/>
                <w:bCs/>
                <w:sz w:val="21"/>
                <w:szCs w:val="21"/>
              </w:rPr>
            </w:pPr>
            <w:r>
              <w:rPr>
                <w:rFonts w:hint="eastAsia"/>
                <w:sz w:val="21"/>
                <w:szCs w:val="21"/>
                <w:lang w:val="en-US" w:eastAsia="zh-CN"/>
              </w:rPr>
              <w:t>能够借助现代信息手段进行自主学习，通过金融知识和理论的学习形成并掌握有效的学习方法。</w:t>
            </w:r>
          </w:p>
          <w:p>
            <w:pPr>
              <w:tabs>
                <w:tab w:val="left" w:pos="1440"/>
              </w:tabs>
              <w:outlineLvl w:val="0"/>
              <w:rPr>
                <w:rFonts w:hint="default" w:ascii="宋体" w:hAnsi="宋体" w:eastAsia="宋体" w:cs="宋体"/>
                <w:sz w:val="21"/>
                <w:szCs w:val="21"/>
                <w:lang w:val="en-US" w:eastAsia="zh-CN" w:bidi="ar-SA"/>
              </w:rPr>
            </w:pPr>
          </w:p>
        </w:tc>
        <w:tc>
          <w:tcPr>
            <w:tcW w:w="2721" w:type="dxa"/>
            <w:vAlign w:val="top"/>
          </w:tcPr>
          <w:p>
            <w:r>
              <w:rPr>
                <w:rFonts w:hint="eastAsia"/>
              </w:rPr>
              <w:t>8-</w:t>
            </w:r>
            <w:r>
              <w:t>1</w:t>
            </w:r>
            <w:r>
              <w:rPr>
                <w:rFonts w:hint="eastAsia"/>
                <w:lang w:eastAsia="zh-CN"/>
              </w:rPr>
              <w:t>：</w:t>
            </w:r>
            <w:r>
              <w:rPr>
                <w:rFonts w:hint="eastAsia"/>
              </w:rPr>
              <w:t>能够掌握有效的自主学习方法；</w:t>
            </w:r>
            <w:r>
              <w:t xml:space="preserve"> </w:t>
            </w:r>
          </w:p>
          <w:p>
            <w:pPr>
              <w:rPr>
                <w:rFonts w:hint="eastAsia" w:ascii="宋体" w:hAnsi="宋体" w:eastAsia="宋体" w:cs="宋体"/>
                <w:sz w:val="22"/>
                <w:szCs w:val="22"/>
                <w:lang w:val="en-US" w:eastAsia="zh-CN" w:bidi="ar-SA"/>
              </w:rPr>
            </w:pPr>
            <w:r>
              <w:t>8</w:t>
            </w:r>
            <w:r>
              <w:rPr>
                <w:rFonts w:hint="eastAsia"/>
              </w:rPr>
              <w:t>-</w:t>
            </w:r>
            <w:r>
              <w:t>2</w:t>
            </w:r>
            <w:r>
              <w:rPr>
                <w:rFonts w:hint="eastAsia"/>
                <w:lang w:eastAsia="zh-CN"/>
              </w:rPr>
              <w:t>：</w:t>
            </w:r>
            <w:r>
              <w:rPr>
                <w:rFonts w:hint="eastAsia"/>
              </w:rPr>
              <w:t>能够应用现代科技手段获取新知识，进行自我学习、自我消化知识、自我更新知识、终身学习的能力；</w:t>
            </w:r>
          </w:p>
        </w:tc>
        <w:tc>
          <w:tcPr>
            <w:tcW w:w="1815" w:type="dxa"/>
            <w:vMerge w:val="restart"/>
            <w:vAlign w:val="center"/>
          </w:tcPr>
          <w:p>
            <w:pPr>
              <w:numPr>
                <w:ilvl w:val="0"/>
                <w:numId w:val="0"/>
              </w:numPr>
              <w:shd w:val="clear" w:color="auto" w:fill="FFFFFF"/>
              <w:spacing w:before="75" w:after="75"/>
              <w:ind w:right="75" w:rightChars="0"/>
              <w:rPr>
                <w:rFonts w:hint="eastAsia"/>
                <w:color w:val="000000"/>
                <w:sz w:val="21"/>
                <w:szCs w:val="21"/>
                <w:lang w:val="en-US" w:eastAsia="zh-CN"/>
              </w:rPr>
            </w:pPr>
          </w:p>
          <w:p>
            <w:pPr>
              <w:numPr>
                <w:ilvl w:val="0"/>
                <w:numId w:val="0"/>
              </w:numPr>
              <w:shd w:val="clear" w:color="auto" w:fill="FFFFFF"/>
              <w:spacing w:before="75" w:after="75"/>
              <w:ind w:right="75" w:rightChars="0"/>
              <w:rPr>
                <w:rFonts w:hint="eastAsia"/>
                <w:color w:val="000000"/>
                <w:sz w:val="21"/>
                <w:szCs w:val="21"/>
                <w:lang w:val="en-US" w:eastAsia="zh-CN"/>
              </w:rPr>
            </w:pPr>
            <w:r>
              <w:rPr>
                <w:rFonts w:hint="eastAsia"/>
                <w:color w:val="000000"/>
                <w:sz w:val="21"/>
                <w:szCs w:val="21"/>
                <w:lang w:val="en-US" w:eastAsia="zh-CN"/>
              </w:rPr>
              <w:t>8.获取知识的能力</w:t>
            </w:r>
          </w:p>
          <w:p>
            <w:pPr>
              <w:numPr>
                <w:ilvl w:val="0"/>
                <w:numId w:val="0"/>
              </w:numPr>
              <w:shd w:val="clear" w:color="auto" w:fill="FFFFFF"/>
              <w:spacing w:before="75" w:after="75"/>
              <w:ind w:left="0" w:leftChars="0" w:right="75" w:rightChars="0" w:firstLine="0" w:firstLineChars="0"/>
              <w:rPr>
                <w:rFonts w:hint="default" w:ascii="宋体" w:hAnsi="宋体" w:eastAsia="宋体" w:cs="宋体"/>
                <w:color w:val="00000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continue"/>
            <w:vAlign w:val="center"/>
          </w:tcPr>
          <w:p>
            <w:pPr>
              <w:tabs>
                <w:tab w:val="left" w:pos="1440"/>
              </w:tabs>
              <w:jc w:val="center"/>
              <w:outlineLvl w:val="0"/>
              <w:rPr>
                <w:rFonts w:hint="eastAsia"/>
                <w:b/>
                <w:color w:val="000000" w:themeColor="text1"/>
                <w14:textFill>
                  <w14:solidFill>
                    <w14:schemeClr w14:val="tx1"/>
                  </w14:solidFill>
                </w14:textFill>
              </w:rPr>
            </w:pPr>
          </w:p>
        </w:tc>
        <w:tc>
          <w:tcPr>
            <w:tcW w:w="3827" w:type="dxa"/>
            <w:vAlign w:val="center"/>
          </w:tcPr>
          <w:p>
            <w:pPr>
              <w:tabs>
                <w:tab w:val="left" w:pos="1440"/>
              </w:tabs>
              <w:ind w:firstLine="211" w:firstLineChars="100"/>
              <w:outlineLvl w:val="0"/>
              <w:rPr>
                <w:rFonts w:hint="eastAsia"/>
                <w:b/>
                <w:bCs/>
                <w:sz w:val="21"/>
                <w:szCs w:val="21"/>
                <w:lang w:val="en-US" w:eastAsia="zh-CN"/>
              </w:rPr>
            </w:pPr>
            <w:r>
              <w:rPr>
                <w:rFonts w:hint="eastAsia"/>
                <w:b/>
                <w:bCs/>
                <w:sz w:val="21"/>
                <w:szCs w:val="21"/>
                <w:lang w:val="en-US" w:eastAsia="zh-CN"/>
              </w:rPr>
              <w:t>目标4：</w:t>
            </w:r>
          </w:p>
          <w:p>
            <w:pPr>
              <w:tabs>
                <w:tab w:val="left" w:pos="1440"/>
              </w:tabs>
              <w:ind w:firstLine="210" w:firstLineChars="100"/>
              <w:outlineLvl w:val="0"/>
              <w:rPr>
                <w:rFonts w:hint="default" w:ascii="宋体" w:hAnsi="宋体" w:eastAsia="宋体" w:cs="宋体"/>
                <w:sz w:val="21"/>
                <w:szCs w:val="21"/>
                <w:lang w:val="en-US" w:eastAsia="zh-CN" w:bidi="ar-SA"/>
              </w:rPr>
            </w:pPr>
            <w:r>
              <w:rPr>
                <w:rFonts w:hint="eastAsia"/>
                <w:sz w:val="21"/>
                <w:szCs w:val="21"/>
              </w:rPr>
              <w:t>在实践中</w:t>
            </w:r>
            <w:r>
              <w:rPr>
                <w:rFonts w:hint="eastAsia"/>
                <w:sz w:val="21"/>
                <w:szCs w:val="21"/>
                <w:lang w:val="en-US" w:eastAsia="zh-CN"/>
              </w:rPr>
              <w:t>掌握金融基础知识</w:t>
            </w:r>
            <w:r>
              <w:rPr>
                <w:rFonts w:hint="eastAsia"/>
                <w:sz w:val="21"/>
                <w:szCs w:val="21"/>
              </w:rPr>
              <w:t>，培养</w:t>
            </w:r>
            <w:r>
              <w:rPr>
                <w:rFonts w:hint="eastAsia"/>
                <w:sz w:val="21"/>
                <w:szCs w:val="21"/>
                <w:lang w:val="en-US" w:eastAsia="zh-CN"/>
              </w:rPr>
              <w:t>对材料进行解读与综合分析能力，</w:t>
            </w:r>
            <w:r>
              <w:rPr>
                <w:rFonts w:hint="eastAsia"/>
                <w:sz w:val="21"/>
                <w:szCs w:val="21"/>
              </w:rPr>
              <w:t>逐步掌握</w:t>
            </w:r>
            <w:r>
              <w:rPr>
                <w:rFonts w:hint="eastAsia"/>
                <w:sz w:val="21"/>
                <w:szCs w:val="21"/>
                <w:lang w:val="en-US" w:eastAsia="zh-CN"/>
              </w:rPr>
              <w:t>经济金融活动分析的基本思维</w:t>
            </w:r>
            <w:r>
              <w:rPr>
                <w:rFonts w:hint="eastAsia"/>
                <w:sz w:val="21"/>
                <w:szCs w:val="21"/>
              </w:rPr>
              <w:t>和方法</w:t>
            </w:r>
            <w:r>
              <w:rPr>
                <w:rFonts w:hint="eastAsia"/>
                <w:sz w:val="21"/>
                <w:szCs w:val="21"/>
                <w:lang w:eastAsia="zh-CN"/>
              </w:rPr>
              <w:t>，</w:t>
            </w:r>
            <w:r>
              <w:rPr>
                <w:rFonts w:hint="eastAsia"/>
                <w:sz w:val="21"/>
                <w:szCs w:val="21"/>
                <w:lang w:val="en-US" w:eastAsia="zh-CN"/>
              </w:rPr>
              <w:t>结合电子商务行业的发展分析与解决现实问题。</w:t>
            </w:r>
          </w:p>
        </w:tc>
        <w:tc>
          <w:tcPr>
            <w:tcW w:w="2721" w:type="dxa"/>
            <w:vAlign w:val="center"/>
          </w:tcPr>
          <w:p>
            <w:pPr>
              <w:rPr>
                <w:rFonts w:hint="eastAsia"/>
                <w:lang w:eastAsia="zh-CN"/>
              </w:rPr>
            </w:pPr>
            <w:r>
              <w:rPr>
                <w:rFonts w:hint="eastAsia"/>
                <w:lang w:val="en-US" w:eastAsia="zh-CN"/>
              </w:rPr>
              <w:t>8-3：</w:t>
            </w:r>
            <w:r>
              <w:rPr>
                <w:rFonts w:hint="eastAsia"/>
              </w:rPr>
              <w:t>适应</w:t>
            </w:r>
            <w:r>
              <w:rPr>
                <w:rFonts w:hint="eastAsia"/>
                <w:lang w:val="en-US" w:eastAsia="zh-CN"/>
              </w:rPr>
              <w:t>电子商务</w:t>
            </w:r>
            <w:r>
              <w:rPr>
                <w:rFonts w:hint="eastAsia"/>
              </w:rPr>
              <w:t>行业快速发展的客观情况</w:t>
            </w:r>
            <w:r>
              <w:rPr>
                <w:rFonts w:hint="eastAsia"/>
                <w:lang w:eastAsia="zh-CN"/>
              </w:rPr>
              <w:t>；</w:t>
            </w:r>
          </w:p>
          <w:p>
            <w:pPr>
              <w:rPr>
                <w:rFonts w:hint="eastAsia" w:ascii="宋体" w:hAnsi="宋体" w:eastAsia="宋体" w:cs="宋体"/>
                <w:sz w:val="22"/>
                <w:szCs w:val="22"/>
                <w:lang w:val="en-US" w:eastAsia="zh-CN" w:bidi="ar-SA"/>
              </w:rPr>
            </w:pPr>
            <w:r>
              <w:rPr>
                <w:rFonts w:hint="eastAsia"/>
                <w:lang w:val="en-US" w:eastAsia="zh-CN"/>
              </w:rPr>
              <w:t>8-4：具备</w:t>
            </w:r>
            <w:r>
              <w:rPr>
                <w:rFonts w:hint="eastAsia"/>
              </w:rPr>
              <w:t>综合分析和解决实际问题。</w:t>
            </w:r>
          </w:p>
        </w:tc>
        <w:tc>
          <w:tcPr>
            <w:tcW w:w="1815" w:type="dxa"/>
            <w:vMerge w:val="continue"/>
            <w:tcBorders/>
            <w:vAlign w:val="center"/>
          </w:tcPr>
          <w:p>
            <w:pPr>
              <w:numPr>
                <w:ilvl w:val="0"/>
                <w:numId w:val="0"/>
              </w:numPr>
              <w:shd w:val="clear" w:color="auto" w:fill="FFFFFF"/>
              <w:spacing w:before="75" w:after="75"/>
              <w:ind w:left="0" w:leftChars="0" w:right="75" w:rightChars="0" w:firstLine="0" w:firstLineChars="0"/>
              <w:rPr>
                <w:rFonts w:hint="default" w:ascii="宋体" w:hAnsi="宋体" w:eastAsia="宋体" w:cs="宋体"/>
                <w:color w:val="000000"/>
                <w:sz w:val="21"/>
                <w:szCs w:val="21"/>
                <w:lang w:val="en-US" w:eastAsia="zh-CN" w:bidi="ar-SA"/>
              </w:rPr>
            </w:pP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3"/>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货币与货币制度</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c>
          <w:tcPr>
            <w:tcW w:w="4916" w:type="dxa"/>
            <w:vAlign w:val="center"/>
          </w:tcPr>
          <w:p>
            <w:pPr>
              <w:adjustRightInd w:val="0"/>
              <w:rPr>
                <w:rFonts w:hint="eastAsia" w:asciiTheme="minorEastAsia" w:hAnsiTheme="minorEastAsia" w:eastAsiaTheme="minorEastAsia"/>
                <w:b/>
                <w:color w:val="333333"/>
                <w:sz w:val="21"/>
                <w:szCs w:val="21"/>
              </w:rPr>
            </w:pPr>
          </w:p>
          <w:p>
            <w:pPr>
              <w:adjustRightInd w:val="0"/>
              <w:rPr>
                <w:rFonts w:hint="eastAsia" w:asciiTheme="minorEastAsia" w:hAnsiTheme="minorEastAsia" w:eastAsiaTheme="minorEastAsia"/>
                <w:b/>
                <w:color w:val="333333"/>
                <w:sz w:val="21"/>
                <w:szCs w:val="21"/>
              </w:rPr>
            </w:pPr>
          </w:p>
          <w:p>
            <w:pPr>
              <w:adjustRightInd w:val="0"/>
              <w:rPr>
                <w:rFonts w:hint="eastAsia" w:asciiTheme="minorEastAsia" w:hAnsiTheme="minorEastAsia" w:eastAsiaTheme="minorEastAsia"/>
                <w:b/>
                <w:color w:val="333333"/>
                <w:sz w:val="21"/>
                <w:szCs w:val="21"/>
              </w:rPr>
            </w:pP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货币的定义与职能；货币形态的演进；货币制度的主要内容；货币制度的演进过程</w:t>
            </w:r>
            <w:r>
              <w:rPr>
                <w:rFonts w:hint="eastAsia" w:asciiTheme="minorEastAsia" w:hAnsiTheme="minorEastAsia" w:eastAsiaTheme="minorEastAsia"/>
                <w:b w:val="0"/>
                <w:bCs/>
                <w:color w:val="333333"/>
                <w:sz w:val="21"/>
                <w:szCs w:val="21"/>
              </w:rPr>
              <w:t>。</w:t>
            </w:r>
          </w:p>
          <w:p>
            <w:pPr>
              <w:adjustRightInd w:val="0"/>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运用</w:t>
            </w:r>
            <w:r>
              <w:rPr>
                <w:rFonts w:hint="eastAsia" w:asciiTheme="minorEastAsia" w:hAnsiTheme="minorEastAsia" w:eastAsiaTheme="minorEastAsia"/>
                <w:b w:val="0"/>
                <w:bCs/>
                <w:color w:val="333333"/>
                <w:sz w:val="21"/>
                <w:szCs w:val="21"/>
                <w:lang w:val="en-US" w:eastAsia="zh-CN"/>
              </w:rPr>
              <w:t>格雷欣法则分析经济现象</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lang w:val="en-US" w:eastAsia="zh-CN"/>
              </w:rPr>
              <w:t>结合实际经济生活讨论“货币”的含义和职能，培养学生形成正确的价值观；介绍中国货币形态的演进过程，帮助学生树立金融文化自信和制度自信。</w:t>
            </w:r>
          </w:p>
          <w:p>
            <w:pPr>
              <w:jc w:val="both"/>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 w:val="0"/>
                <w:bCs/>
                <w:color w:val="000000" w:themeColor="text1"/>
                <w:sz w:val="21"/>
                <w:szCs w:val="21"/>
                <w:lang w:val="en-US" w:eastAsia="zh-CN"/>
                <w14:textFill>
                  <w14:solidFill>
                    <w14:schemeClr w14:val="tx1"/>
                  </w14:solidFill>
                </w14:textFill>
              </w:rPr>
              <w:t>线上</w:t>
            </w:r>
            <w:r>
              <w:rPr>
                <w:rFonts w:hint="eastAsia" w:asciiTheme="minorEastAsia" w:hAnsiTheme="minorEastAsia" w:eastAsiaTheme="minorEastAsia"/>
                <w:color w:val="333333"/>
                <w:sz w:val="21"/>
                <w:szCs w:val="21"/>
              </w:rPr>
              <w:t>线下</w:t>
            </w:r>
            <w:r>
              <w:rPr>
                <w:rFonts w:hint="eastAsia" w:asciiTheme="minorEastAsia" w:hAnsiTheme="minorEastAsia" w:eastAsiaTheme="minorEastAsia"/>
                <w:color w:val="333333"/>
                <w:sz w:val="21"/>
                <w:szCs w:val="21"/>
                <w:lang w:val="en-US" w:eastAsia="zh-CN"/>
              </w:rPr>
              <w:t>相结合</w:t>
            </w:r>
            <w:r>
              <w:rPr>
                <w:rFonts w:hint="eastAsia" w:asciiTheme="minorEastAsia" w:hAnsiTheme="minorEastAsia" w:eastAsiaTheme="minorEastAsia"/>
                <w:color w:val="333333"/>
                <w:sz w:val="21"/>
                <w:szCs w:val="21"/>
              </w:rPr>
              <w:t>。</w:t>
            </w:r>
            <w:r>
              <w:rPr>
                <w:rFonts w:hint="eastAsia" w:asciiTheme="minorEastAsia" w:hAnsiTheme="minorEastAsia" w:eastAsiaTheme="minorEastAsia"/>
                <w:color w:val="333333"/>
                <w:sz w:val="21"/>
                <w:szCs w:val="21"/>
                <w:lang w:val="en-US" w:eastAsia="zh-CN"/>
              </w:rPr>
              <w:t>对于基本概念、原理在</w:t>
            </w:r>
            <w:r>
              <w:rPr>
                <w:rFonts w:hint="eastAsia" w:asciiTheme="minorEastAsia" w:hAnsiTheme="minorEastAsia" w:eastAsiaTheme="minorEastAsia"/>
                <w:color w:val="333333"/>
                <w:sz w:val="21"/>
                <w:szCs w:val="21"/>
              </w:rPr>
              <w:t>课堂上予以讲授，对于</w:t>
            </w:r>
            <w:r>
              <w:rPr>
                <w:rFonts w:hint="eastAsia" w:asciiTheme="minorEastAsia" w:hAnsiTheme="minorEastAsia" w:eastAsiaTheme="minorEastAsia"/>
                <w:color w:val="333333"/>
                <w:sz w:val="21"/>
                <w:szCs w:val="21"/>
                <w:lang w:val="en-US" w:eastAsia="zh-CN"/>
              </w:rPr>
              <w:t>货币形态与货币制度演进方面的内容采用线上自学线下讨论的方式进行</w:t>
            </w:r>
            <w:r>
              <w:rPr>
                <w:rFonts w:hint="eastAsia" w:asciiTheme="minorEastAsia" w:hAnsiTheme="minorEastAsia" w:eastAsiaTheme="minorEastAsia"/>
                <w:color w:val="333333"/>
                <w:sz w:val="21"/>
                <w:szCs w:val="21"/>
              </w:rPr>
              <w:t>。课堂运用主要运用讲授法</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rPr>
              <w:t>案例</w:t>
            </w:r>
            <w:r>
              <w:rPr>
                <w:rFonts w:hint="eastAsia" w:asciiTheme="minorEastAsia" w:hAnsiTheme="minorEastAsia" w:eastAsiaTheme="minorEastAsia"/>
                <w:color w:val="333333"/>
                <w:sz w:val="21"/>
                <w:szCs w:val="21"/>
                <w:lang w:val="en-US" w:eastAsia="zh-CN"/>
              </w:rPr>
              <w:t>分析与讨论</w:t>
            </w:r>
            <w:r>
              <w:rPr>
                <w:rFonts w:hint="eastAsia" w:asciiTheme="minorEastAsia" w:hAnsiTheme="minorEastAsia" w:eastAsiaTheme="minorEastAsia"/>
                <w:color w:val="333333"/>
                <w:sz w:val="21"/>
                <w:szCs w:val="21"/>
              </w:rPr>
              <w:t>开展教学，辅以启发式提问拓宽学生学习思路。</w:t>
            </w: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回顾“货币”相关知识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要求学生积极参与课堂讨论并发言发言</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扫码自学“人民币制度的建立</w:t>
            </w:r>
            <w:r>
              <w:rPr>
                <w:rFonts w:hint="default"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、“国际货币体系”等延伸阅读知识</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信用与信用形式</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916"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信用的构成要素；现代信用的主要形式；几种典型的信用工具</w:t>
            </w:r>
          </w:p>
          <w:p>
            <w:pPr>
              <w:adjustRightInd w:val="0"/>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区分商业信用与银行信用；分析典型信用工具的构成要素及特征</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结合信用构成的基础，培养学生形成正确的价值观和人生观；结合典型信用工具在风险与收益方面的特征表现，帮助学生树立基本的风险意识。</w:t>
            </w:r>
          </w:p>
          <w:p>
            <w:pPr>
              <w:adjustRightInd w:val="0"/>
              <w:rPr>
                <w:rFonts w:hint="eastAsia" w:asciiTheme="minorEastAsia" w:hAnsiTheme="minorEastAsia" w:eastAsiaTheme="minorEastAsia"/>
                <w:color w:val="333333"/>
                <w:sz w:val="21"/>
                <w:szCs w:val="21"/>
                <w:lang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线上线下相结合。对于基本概念、专业术语</w:t>
            </w:r>
            <w:r>
              <w:rPr>
                <w:rFonts w:hint="eastAsia" w:asciiTheme="minorEastAsia" w:hAnsiTheme="minorEastAsia" w:eastAsiaTheme="minorEastAsia"/>
                <w:color w:val="333333"/>
                <w:sz w:val="21"/>
                <w:szCs w:val="21"/>
                <w:lang w:val="en-US" w:eastAsia="zh-CN"/>
              </w:rPr>
              <w:t>在</w:t>
            </w:r>
            <w:r>
              <w:rPr>
                <w:rFonts w:hint="eastAsia" w:asciiTheme="minorEastAsia" w:hAnsiTheme="minorEastAsia" w:eastAsiaTheme="minorEastAsia"/>
                <w:color w:val="333333"/>
                <w:sz w:val="21"/>
                <w:szCs w:val="21"/>
              </w:rPr>
              <w:t>课堂上予以讲授，对于</w:t>
            </w:r>
            <w:r>
              <w:rPr>
                <w:rFonts w:hint="eastAsia" w:asciiTheme="minorEastAsia" w:hAnsiTheme="minorEastAsia" w:eastAsiaTheme="minorEastAsia"/>
                <w:color w:val="333333"/>
                <w:sz w:val="21"/>
                <w:szCs w:val="21"/>
                <w:lang w:val="en-US" w:eastAsia="zh-CN"/>
              </w:rPr>
              <w:t>典型信用工具区分与对比采用线上自学线下汇报讨论的方式进行</w:t>
            </w:r>
            <w:r>
              <w:rPr>
                <w:rFonts w:hint="eastAsia" w:asciiTheme="minorEastAsia" w:hAnsiTheme="minorEastAsia" w:eastAsiaTheme="minorEastAsia"/>
                <w:color w:val="333333"/>
                <w:sz w:val="21"/>
                <w:szCs w:val="21"/>
              </w:rPr>
              <w:t>。课堂运用主要运用讲授法</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rPr>
              <w:t>案例</w:t>
            </w:r>
            <w:r>
              <w:rPr>
                <w:rFonts w:hint="eastAsia" w:asciiTheme="minorEastAsia" w:hAnsiTheme="minorEastAsia" w:eastAsiaTheme="minorEastAsia"/>
                <w:color w:val="333333"/>
                <w:sz w:val="21"/>
                <w:szCs w:val="21"/>
                <w:lang w:val="en-US" w:eastAsia="zh-CN"/>
              </w:rPr>
              <w:t>分析、小组汇报等</w:t>
            </w:r>
            <w:r>
              <w:rPr>
                <w:rFonts w:hint="eastAsia" w:asciiTheme="minorEastAsia" w:hAnsiTheme="minorEastAsia" w:eastAsiaTheme="minorEastAsia"/>
                <w:color w:val="333333"/>
                <w:sz w:val="21"/>
                <w:szCs w:val="21"/>
              </w:rPr>
              <w:t>开展教学，辅以启发式提问拓宽学生学习思路</w:t>
            </w:r>
            <w:r>
              <w:rPr>
                <w:rFonts w:hint="eastAsia" w:asciiTheme="minorEastAsia" w:hAnsiTheme="minorEastAsia" w:eastAsiaTheme="minorEastAsia"/>
                <w:color w:val="333333"/>
                <w:sz w:val="21"/>
                <w:szCs w:val="21"/>
                <w:lang w:eastAsia="zh-CN"/>
              </w:rPr>
              <w:t>。</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课前：搜集生活中与“信用”相关的具体经济活动</w:t>
            </w:r>
          </w:p>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课中：分享案例，并积极参与讨论</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课后：延伸阅读“中国信用社会建设”</w:t>
            </w:r>
          </w:p>
        </w:tc>
        <w:tc>
          <w:tcPr>
            <w:tcW w:w="898"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目标1</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目标2</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目标4</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利</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息与利率；</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外汇与汇率</w:t>
            </w:r>
          </w:p>
        </w:tc>
        <w:tc>
          <w:tcPr>
            <w:tcW w:w="791"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3</w:t>
            </w:r>
          </w:p>
        </w:tc>
        <w:tc>
          <w:tcPr>
            <w:tcW w:w="4916"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利息的本质；利率的类型与决定；利率的度量与计量；汇率的类型与标价方法</w:t>
            </w:r>
          </w:p>
          <w:p>
            <w:pPr>
              <w:adjustRightInd w:val="0"/>
              <w:jc w:val="both"/>
              <w:rPr>
                <w:rFonts w:asciiTheme="minorEastAsia" w:hAnsiTheme="minorEastAsia" w:eastAsiaTheme="minorEastAsia"/>
                <w:b w:val="0"/>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利息的本质与来源；运用单利法与复利法进行经济金融活动计算分析</w:t>
            </w:r>
            <w:r>
              <w:rPr>
                <w:rFonts w:asciiTheme="minorEastAsia" w:hAnsiTheme="minorEastAsia" w:eastAsiaTheme="minorEastAsia"/>
                <w:b w:val="0"/>
                <w:bCs/>
                <w:color w:val="333333"/>
                <w:sz w:val="21"/>
                <w:szCs w:val="21"/>
              </w:rPr>
              <w:t xml:space="preserve"> </w:t>
            </w:r>
          </w:p>
          <w:p>
            <w:pPr>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结合“货币的时间价值”与无风险利率分析，强化学生的风险意识</w:t>
            </w:r>
          </w:p>
          <w:p>
            <w:pPr>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线上线下相结合。</w:t>
            </w:r>
            <w:r>
              <w:rPr>
                <w:rFonts w:hint="eastAsia" w:asciiTheme="minorEastAsia" w:hAnsiTheme="minorEastAsia" w:eastAsiaTheme="minorEastAsia"/>
                <w:color w:val="333333"/>
                <w:sz w:val="21"/>
                <w:szCs w:val="21"/>
                <w:lang w:val="en-US" w:eastAsia="zh-CN"/>
              </w:rPr>
              <w:t>对于利息、利率、汇率等基本概念在</w:t>
            </w:r>
            <w:r>
              <w:rPr>
                <w:rFonts w:hint="eastAsia" w:asciiTheme="minorEastAsia" w:hAnsiTheme="minorEastAsia" w:eastAsiaTheme="minorEastAsia"/>
                <w:color w:val="333333"/>
                <w:sz w:val="21"/>
                <w:szCs w:val="21"/>
              </w:rPr>
              <w:t>课堂上</w:t>
            </w:r>
            <w:r>
              <w:rPr>
                <w:rFonts w:hint="eastAsia" w:asciiTheme="minorEastAsia" w:hAnsiTheme="minorEastAsia" w:eastAsiaTheme="minorEastAsia"/>
                <w:color w:val="333333"/>
                <w:sz w:val="21"/>
                <w:szCs w:val="21"/>
                <w:lang w:val="en-US" w:eastAsia="zh-CN"/>
              </w:rPr>
              <w:t>结合实例进行深入解析</w:t>
            </w:r>
            <w:r>
              <w:rPr>
                <w:rFonts w:hint="eastAsia" w:asciiTheme="minorEastAsia" w:hAnsiTheme="minorEastAsia" w:eastAsiaTheme="minorEastAsia"/>
                <w:color w:val="333333"/>
                <w:sz w:val="21"/>
                <w:szCs w:val="21"/>
              </w:rPr>
              <w:t>，对于</w:t>
            </w:r>
            <w:r>
              <w:rPr>
                <w:rFonts w:hint="eastAsia" w:asciiTheme="minorEastAsia" w:hAnsiTheme="minorEastAsia" w:eastAsiaTheme="minorEastAsia"/>
                <w:color w:val="333333"/>
                <w:sz w:val="21"/>
                <w:szCs w:val="21"/>
                <w:lang w:val="en-US" w:eastAsia="zh-CN"/>
              </w:rPr>
              <w:t>利率类型与汇率标价方法采用线上自学线下讨论的方式进行</w:t>
            </w:r>
            <w:r>
              <w:rPr>
                <w:rFonts w:hint="eastAsia" w:asciiTheme="minorEastAsia" w:hAnsiTheme="minorEastAsia" w:eastAsiaTheme="minorEastAsia"/>
                <w:color w:val="333333"/>
                <w:sz w:val="21"/>
                <w:szCs w:val="21"/>
              </w:rPr>
              <w:t>。课堂运用主要运用讲授法</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lang w:val="en-US" w:eastAsia="zh-CN"/>
              </w:rPr>
              <w:t>例题演算与分析方式</w:t>
            </w:r>
            <w:r>
              <w:rPr>
                <w:rFonts w:hint="eastAsia" w:asciiTheme="minorEastAsia" w:hAnsiTheme="minorEastAsia" w:eastAsiaTheme="minorEastAsia"/>
                <w:color w:val="333333"/>
                <w:sz w:val="21"/>
                <w:szCs w:val="21"/>
              </w:rPr>
              <w:t>开展教学，辅以启发式提问拓宽学生学习思路</w:t>
            </w:r>
            <w:r>
              <w:rPr>
                <w:rFonts w:hint="eastAsia" w:asciiTheme="minorEastAsia" w:hAnsiTheme="minorEastAsia" w:eastAsiaTheme="minorEastAsia"/>
                <w:color w:val="333333"/>
                <w:sz w:val="21"/>
                <w:szCs w:val="21"/>
                <w:lang w:eastAsia="zh-CN"/>
              </w:rPr>
              <w:t>。</w:t>
            </w:r>
          </w:p>
          <w:p>
            <w:pPr>
              <w:jc w:val="both"/>
              <w:rPr>
                <w:rFonts w:asciiTheme="minorEastAsia" w:hAnsiTheme="minorEastAsia" w:eastAsiaTheme="minorEastAsia"/>
                <w:color w:val="333333"/>
                <w:sz w:val="21"/>
                <w:szCs w:val="21"/>
              </w:rPr>
            </w:pPr>
          </w:p>
          <w:p>
            <w:pPr>
              <w:adjustRightInd w:val="0"/>
              <w:jc w:val="both"/>
              <w:rPr>
                <w:rFonts w:asciiTheme="minorEastAsia" w:hAnsiTheme="minorEastAsia" w:eastAsiaTheme="minorEastAsia"/>
                <w:color w:val="333333"/>
                <w:sz w:val="21"/>
                <w:szCs w:val="21"/>
              </w:rPr>
            </w:pPr>
          </w:p>
        </w:tc>
        <w:tc>
          <w:tcPr>
            <w:tcW w:w="962" w:type="dxa"/>
            <w:vAlign w:val="center"/>
          </w:tcPr>
          <w:p>
            <w:pPr>
              <w:jc w:val="left"/>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课前：通过银行官网了解常用利率类型和现实利率水平</w:t>
            </w:r>
          </w:p>
          <w:p>
            <w:pPr>
              <w:jc w:val="left"/>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课中：积极参与课堂讨论，并踊跃上台演算</w:t>
            </w:r>
          </w:p>
          <w:p>
            <w:pPr>
              <w:jc w:val="lef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课后：复习并完成作业</w:t>
            </w:r>
          </w:p>
        </w:tc>
        <w:tc>
          <w:tcPr>
            <w:tcW w:w="898" w:type="dxa"/>
            <w:vAlign w:val="center"/>
          </w:tcPr>
          <w:p>
            <w:pPr>
              <w:jc w:val="both"/>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目标1</w:t>
            </w:r>
          </w:p>
          <w:p>
            <w:pPr>
              <w:jc w:val="both"/>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目标2</w:t>
            </w:r>
          </w:p>
          <w:p>
            <w:pPr>
              <w:jc w:val="both"/>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目标3</w:t>
            </w:r>
          </w:p>
          <w:p>
            <w:pPr>
              <w:jc w:val="both"/>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b/>
                <w:bCs/>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金融机构体系与商业银行</w:t>
            </w:r>
          </w:p>
        </w:tc>
        <w:tc>
          <w:tcPr>
            <w:tcW w:w="791"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资金融通的渠道；金融机构体系的基本构成；商业银行的组织形式和主要业务；商业银行经营管理的三原则。</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直接融资、间接融资与互联网金融模式及其应用；区分不同类型金融机构的主要业务范围和职能</w:t>
            </w:r>
            <w:r>
              <w:rPr>
                <w:rFonts w:asciiTheme="minorEastAsia" w:hAnsiTheme="minorEastAsia" w:eastAsiaTheme="minorEastAsia"/>
                <w:b/>
                <w:color w:val="333333"/>
                <w:sz w:val="21"/>
                <w:szCs w:val="21"/>
              </w:rPr>
              <w:t xml:space="preserve"> </w:t>
            </w:r>
          </w:p>
          <w:p>
            <w:pPr>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结合中国金融机构体系的构成，形成对金融行业的基本认知；通过结合典型案例进行中美金融机构体系构成的对比分析，帮助学生树立金融文化自信和制度自信。</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color w:val="333333"/>
                <w:sz w:val="21"/>
                <w:szCs w:val="21"/>
                <w:lang w:val="en-US" w:eastAsia="zh-CN"/>
              </w:rPr>
              <w:t>线上线下相结合。</w:t>
            </w:r>
            <w:r>
              <w:rPr>
                <w:rFonts w:hint="eastAsia" w:asciiTheme="minorEastAsia" w:hAnsiTheme="minorEastAsia" w:eastAsiaTheme="minorEastAsia"/>
                <w:color w:val="333333"/>
                <w:sz w:val="21"/>
                <w:szCs w:val="21"/>
                <w:lang w:val="en-US" w:eastAsia="zh-CN"/>
              </w:rPr>
              <w:t>对于金融机构的存在理由和构成在</w:t>
            </w:r>
            <w:r>
              <w:rPr>
                <w:rFonts w:hint="eastAsia" w:asciiTheme="minorEastAsia" w:hAnsiTheme="minorEastAsia" w:eastAsiaTheme="minorEastAsia"/>
                <w:color w:val="333333"/>
                <w:sz w:val="21"/>
                <w:szCs w:val="21"/>
              </w:rPr>
              <w:t>课堂上予以讲授，对于</w:t>
            </w:r>
            <w:r>
              <w:rPr>
                <w:rFonts w:hint="eastAsia" w:asciiTheme="minorEastAsia" w:hAnsiTheme="minorEastAsia" w:eastAsiaTheme="minorEastAsia"/>
                <w:color w:val="333333"/>
                <w:sz w:val="21"/>
                <w:szCs w:val="21"/>
                <w:lang w:val="en-US" w:eastAsia="zh-CN"/>
              </w:rPr>
              <w:t>商业银行的业务及其职能采用线上自学线下讨论的方式进行</w:t>
            </w:r>
            <w:r>
              <w:rPr>
                <w:rFonts w:hint="eastAsia" w:asciiTheme="minorEastAsia" w:hAnsiTheme="minorEastAsia" w:eastAsiaTheme="minorEastAsia"/>
                <w:color w:val="333333"/>
                <w:sz w:val="21"/>
                <w:szCs w:val="21"/>
              </w:rPr>
              <w:t>。课堂运用主要运用讲授法</w:t>
            </w:r>
            <w:r>
              <w:rPr>
                <w:rFonts w:hint="eastAsia" w:asciiTheme="minorEastAsia" w:hAnsiTheme="minorEastAsia" w:eastAsiaTheme="minorEastAsia"/>
                <w:color w:val="333333"/>
                <w:sz w:val="21"/>
                <w:szCs w:val="21"/>
                <w:lang w:val="en-US" w:eastAsia="zh-CN"/>
              </w:rPr>
              <w:t>与讨论</w:t>
            </w:r>
            <w:r>
              <w:rPr>
                <w:rFonts w:hint="eastAsia" w:asciiTheme="minorEastAsia" w:hAnsiTheme="minorEastAsia" w:eastAsiaTheme="minorEastAsia"/>
                <w:color w:val="333333"/>
                <w:sz w:val="21"/>
                <w:szCs w:val="21"/>
              </w:rPr>
              <w:t>开展教学，辅以启发式提问拓宽学生学习思路</w:t>
            </w:r>
          </w:p>
          <w:p>
            <w:pPr>
              <w:jc w:val="both"/>
              <w:rPr>
                <w:rFonts w:asciiTheme="minorEastAsia" w:hAnsiTheme="minorEastAsia" w:eastAsiaTheme="minorEastAsia"/>
                <w:color w:val="333333"/>
                <w:sz w:val="21"/>
                <w:szCs w:val="21"/>
              </w:rPr>
            </w:pPr>
          </w:p>
          <w:p>
            <w:pPr>
              <w:adjustRightInd w:val="0"/>
              <w:jc w:val="both"/>
              <w:rPr>
                <w:b/>
                <w:bCs/>
                <w:color w:val="000000" w:themeColor="text1"/>
                <w:sz w:val="21"/>
                <w:szCs w:val="21"/>
                <w14:textFill>
                  <w14:solidFill>
                    <w14:schemeClr w14:val="tx1"/>
                  </w14:solidFill>
                </w14:textFill>
              </w:rPr>
            </w:pPr>
          </w:p>
        </w:tc>
        <w:tc>
          <w:tcPr>
            <w:tcW w:w="962" w:type="dxa"/>
            <w:vAlign w:val="center"/>
          </w:tcPr>
          <w:p>
            <w:pPr>
              <w:jc w:val="left"/>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 xml:space="preserve">课前：通过网络查询搜集，了解我国的金融机构 </w:t>
            </w:r>
          </w:p>
          <w:p>
            <w:pPr>
              <w:jc w:val="left"/>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课中：积极参与案例分析与讨论</w:t>
            </w:r>
          </w:p>
          <w:p>
            <w:pPr>
              <w:jc w:val="left"/>
              <w:rPr>
                <w:b/>
                <w:bCs/>
                <w:color w:val="000000" w:themeColor="text1"/>
                <w:sz w:val="21"/>
                <w:szCs w:val="21"/>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课后：比较中美主要金融机构的业务范围</w:t>
            </w:r>
          </w:p>
        </w:tc>
        <w:tc>
          <w:tcPr>
            <w:tcW w:w="898"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目标2</w:t>
            </w:r>
          </w:p>
          <w:p>
            <w:pPr>
              <w:jc w:val="center"/>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目标4</w:t>
            </w:r>
          </w:p>
          <w:p>
            <w:pPr>
              <w:jc w:val="center"/>
              <w:rPr>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其他金融机构（保险、基金等）</w:t>
            </w:r>
          </w:p>
        </w:tc>
        <w:tc>
          <w:tcPr>
            <w:tcW w:w="791"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基金管理公司；保险经营机构</w:t>
            </w:r>
          </w:p>
          <w:p>
            <w:pPr>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理解基金设计的基本理念；</w:t>
            </w:r>
          </w:p>
          <w:p>
            <w:pPr>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介绍基金的原理和类型，让学生建立基本的投资理财观念。</w:t>
            </w:r>
          </w:p>
          <w:p>
            <w:pPr>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线上线下相结合。</w:t>
            </w:r>
            <w:r>
              <w:rPr>
                <w:rFonts w:hint="eastAsia" w:asciiTheme="minorEastAsia" w:hAnsiTheme="minorEastAsia" w:eastAsiaTheme="minorEastAsia"/>
                <w:color w:val="333333"/>
                <w:sz w:val="21"/>
                <w:szCs w:val="21"/>
                <w:lang w:val="en-US" w:eastAsia="zh-CN"/>
              </w:rPr>
              <w:t>对于基金设计的基本原理在</w:t>
            </w:r>
            <w:r>
              <w:rPr>
                <w:rFonts w:hint="eastAsia" w:asciiTheme="minorEastAsia" w:hAnsiTheme="minorEastAsia" w:eastAsiaTheme="minorEastAsia"/>
                <w:color w:val="333333"/>
                <w:sz w:val="21"/>
                <w:szCs w:val="21"/>
              </w:rPr>
              <w:t>课堂上</w:t>
            </w:r>
            <w:r>
              <w:rPr>
                <w:rFonts w:hint="eastAsia" w:asciiTheme="minorEastAsia" w:hAnsiTheme="minorEastAsia" w:eastAsiaTheme="minorEastAsia"/>
                <w:color w:val="333333"/>
                <w:sz w:val="21"/>
                <w:szCs w:val="21"/>
                <w:lang w:val="en-US" w:eastAsia="zh-CN"/>
              </w:rPr>
              <w:t>进行举例说明分析</w:t>
            </w:r>
            <w:r>
              <w:rPr>
                <w:rFonts w:hint="eastAsia" w:asciiTheme="minorEastAsia" w:hAnsiTheme="minorEastAsia" w:eastAsiaTheme="minorEastAsia"/>
                <w:color w:val="333333"/>
                <w:sz w:val="21"/>
                <w:szCs w:val="21"/>
              </w:rPr>
              <w:t>，对于</w:t>
            </w:r>
            <w:r>
              <w:rPr>
                <w:rFonts w:hint="eastAsia" w:asciiTheme="minorEastAsia" w:hAnsiTheme="minorEastAsia" w:eastAsiaTheme="minorEastAsia"/>
                <w:color w:val="333333"/>
                <w:sz w:val="21"/>
                <w:szCs w:val="21"/>
                <w:lang w:val="en-US" w:eastAsia="zh-CN"/>
              </w:rPr>
              <w:t>基金的类型采用线上自学、查找资料，线下讨论的方式进行</w:t>
            </w:r>
            <w:r>
              <w:rPr>
                <w:rFonts w:hint="eastAsia" w:asciiTheme="minorEastAsia" w:hAnsiTheme="minorEastAsia" w:eastAsiaTheme="minorEastAsia"/>
                <w:color w:val="333333"/>
                <w:sz w:val="21"/>
                <w:szCs w:val="21"/>
              </w:rPr>
              <w:t>。课堂运用主要运用讲授法</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rPr>
              <w:t>案例</w:t>
            </w:r>
            <w:r>
              <w:rPr>
                <w:rFonts w:hint="eastAsia" w:asciiTheme="minorEastAsia" w:hAnsiTheme="minorEastAsia" w:eastAsiaTheme="minorEastAsia"/>
                <w:color w:val="333333"/>
                <w:sz w:val="21"/>
                <w:szCs w:val="21"/>
                <w:lang w:val="en-US" w:eastAsia="zh-CN"/>
              </w:rPr>
              <w:t>分析与讨论</w:t>
            </w:r>
            <w:r>
              <w:rPr>
                <w:rFonts w:hint="eastAsia" w:asciiTheme="minorEastAsia" w:hAnsiTheme="minorEastAsia" w:eastAsiaTheme="minorEastAsia"/>
                <w:color w:val="333333"/>
                <w:sz w:val="21"/>
                <w:szCs w:val="21"/>
              </w:rPr>
              <w:t>开展教学，辅以启发式提问拓宽学生学习思路</w:t>
            </w:r>
          </w:p>
          <w:p>
            <w:pPr>
              <w:adjustRightInd w:val="0"/>
              <w:jc w:val="both"/>
              <w:rPr>
                <w:rFonts w:ascii="宋体" w:hAnsi="宋体" w:eastAsia="宋体" w:cs="宋体"/>
                <w:color w:val="000000" w:themeColor="text1"/>
                <w:sz w:val="21"/>
                <w:szCs w:val="21"/>
                <w:lang w:val="en-US" w:eastAsia="zh-CN" w:bidi="ar-SA"/>
                <w14:textFill>
                  <w14:solidFill>
                    <w14:schemeClr w14:val="tx1"/>
                  </w14:solidFill>
                </w14:textFill>
              </w:rPr>
            </w:pPr>
          </w:p>
        </w:tc>
        <w:tc>
          <w:tcPr>
            <w:tcW w:w="962" w:type="dxa"/>
            <w:vAlign w:val="center"/>
          </w:tcPr>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课前：通过支付宝平台查找选择一支基金</w:t>
            </w:r>
          </w:p>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课中：分享基金选择的标准，并参与讨论</w:t>
            </w:r>
          </w:p>
          <w:p>
            <w:pPr>
              <w:jc w:val="center"/>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课后：结合基金或保险主题，搜集资料分析投资理财的可行性</w:t>
            </w:r>
          </w:p>
        </w:tc>
        <w:tc>
          <w:tcPr>
            <w:tcW w:w="898"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目标1</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金融市场</w:t>
            </w:r>
          </w:p>
        </w:tc>
        <w:tc>
          <w:tcPr>
            <w:tcW w:w="791"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6</w:t>
            </w:r>
          </w:p>
        </w:tc>
        <w:tc>
          <w:tcPr>
            <w:tcW w:w="4916"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金融市场的特点；货币市场的构成与类型；</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金融衍生市场</w:t>
            </w:r>
          </w:p>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金融市场的买空卖空；区分货币市场各细分市场在宏观经济运行中的作用</w:t>
            </w:r>
          </w:p>
          <w:p>
            <w:pPr>
              <w:jc w:val="both"/>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通过各细分市场对比分析，在对学生进行理财教育的同时强化学生的风险管理意识；结合金融衍生产品案例对比分析中国特色金融市场体系的稳定性和安全性，强调金融文化自信。</w:t>
            </w:r>
          </w:p>
          <w:p>
            <w:pPr>
              <w:jc w:val="both"/>
              <w:rPr>
                <w:rFonts w:hint="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线下教学。</w:t>
            </w:r>
            <w:r>
              <w:rPr>
                <w:rFonts w:hint="eastAsia" w:asciiTheme="minorEastAsia" w:hAnsiTheme="minorEastAsia" w:eastAsiaTheme="minorEastAsia"/>
                <w:color w:val="333333"/>
                <w:sz w:val="21"/>
                <w:szCs w:val="21"/>
                <w:lang w:val="en-US" w:eastAsia="zh-CN"/>
              </w:rPr>
              <w:t>对于基本概念、原理在</w:t>
            </w:r>
            <w:r>
              <w:rPr>
                <w:rFonts w:hint="eastAsia" w:asciiTheme="minorEastAsia" w:hAnsiTheme="minorEastAsia" w:eastAsiaTheme="minorEastAsia"/>
                <w:color w:val="333333"/>
                <w:sz w:val="21"/>
                <w:szCs w:val="21"/>
              </w:rPr>
              <w:t>课堂上予以讲授，</w:t>
            </w:r>
            <w:r>
              <w:rPr>
                <w:rFonts w:hint="eastAsia" w:asciiTheme="minorEastAsia" w:hAnsiTheme="minorEastAsia" w:eastAsiaTheme="minorEastAsia"/>
                <w:color w:val="333333"/>
                <w:sz w:val="21"/>
                <w:szCs w:val="21"/>
                <w:lang w:val="en-US" w:eastAsia="zh-CN"/>
              </w:rPr>
              <w:t>更多采用对比分析的方法进行课堂教学</w:t>
            </w:r>
            <w:r>
              <w:rPr>
                <w:rFonts w:hint="eastAsia" w:asciiTheme="minorEastAsia" w:hAnsiTheme="minorEastAsia" w:eastAsiaTheme="minorEastAsia"/>
                <w:color w:val="333333"/>
                <w:sz w:val="21"/>
                <w:szCs w:val="21"/>
              </w:rPr>
              <w:t>。课堂运用主要运用讲授法</w:t>
            </w:r>
            <w:r>
              <w:rPr>
                <w:rFonts w:hint="eastAsia" w:asciiTheme="minorEastAsia" w:hAnsiTheme="minorEastAsia" w:eastAsiaTheme="minorEastAsia"/>
                <w:color w:val="333333"/>
                <w:sz w:val="21"/>
                <w:szCs w:val="21"/>
                <w:lang w:val="en-US" w:eastAsia="zh-CN"/>
              </w:rPr>
              <w:t>与对比、讨论分析</w:t>
            </w:r>
            <w:r>
              <w:rPr>
                <w:rFonts w:hint="eastAsia" w:asciiTheme="minorEastAsia" w:hAnsiTheme="minorEastAsia" w:eastAsiaTheme="minorEastAsia"/>
                <w:color w:val="333333"/>
                <w:sz w:val="21"/>
                <w:szCs w:val="21"/>
              </w:rPr>
              <w:t>开展教学，辅以启发式提问拓宽学生学习思路</w:t>
            </w:r>
          </w:p>
          <w:p>
            <w:pPr>
              <w:adjustRightInd w:val="0"/>
              <w:jc w:val="both"/>
              <w:rPr>
                <w:rFonts w:hint="default" w:ascii="宋体" w:hAnsi="宋体" w:eastAsia="宋体" w:cs="宋体"/>
                <w:bCs/>
                <w:color w:val="000000" w:themeColor="text1"/>
                <w:sz w:val="21"/>
                <w:szCs w:val="21"/>
                <w:lang w:val="en-US" w:eastAsia="zh-CN" w:bidi="ar-SA"/>
                <w14:textFill>
                  <w14:solidFill>
                    <w14:schemeClr w14:val="tx1"/>
                  </w14:solidFill>
                </w14:textFill>
              </w:rPr>
            </w:pPr>
          </w:p>
        </w:tc>
        <w:tc>
          <w:tcPr>
            <w:tcW w:w="962"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课前：提前预习课本货币市场部分内容</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课中：结合教师给定的内容进行讨论和对比分析课后：延伸阅读“中国资本市场B股与H股诞生记”</w:t>
            </w:r>
          </w:p>
        </w:tc>
        <w:tc>
          <w:tcPr>
            <w:tcW w:w="898"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目标1目标2</w:t>
            </w:r>
          </w:p>
          <w:p>
            <w:pPr>
              <w:jc w:val="center"/>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目标4 </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中央银行与货币政策</w:t>
            </w:r>
          </w:p>
        </w:tc>
        <w:tc>
          <w:tcPr>
            <w:tcW w:w="791"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中央银行的职能与主要业务；货币政策的构成；货币政策工具；货币政策的传导机制</w:t>
            </w:r>
          </w:p>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中央银行与商业银行业务的连接；三大一般性货币政策工具</w:t>
            </w:r>
          </w:p>
          <w:p>
            <w:pPr>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结合新冠疫情期间，中美两国货币政策工具的使用对比，帮助学生树立对中国金融制度先进性的信心，明确“金融服务于实体经济”的本质。</w:t>
            </w:r>
          </w:p>
          <w:p>
            <w:pPr>
              <w:jc w:val="both"/>
              <w:rPr>
                <w:rFonts w:hint="default" w:ascii="宋体" w:hAnsi="宋体" w:eastAsia="宋体" w:cs="宋体"/>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线上线下相结合。</w:t>
            </w:r>
            <w:r>
              <w:rPr>
                <w:rFonts w:hint="eastAsia" w:asciiTheme="minorEastAsia" w:hAnsiTheme="minorEastAsia" w:eastAsiaTheme="minorEastAsia"/>
                <w:color w:val="333333"/>
                <w:sz w:val="21"/>
                <w:szCs w:val="21"/>
                <w:lang w:val="en-US" w:eastAsia="zh-CN"/>
              </w:rPr>
              <w:t>对于基本概念和专业术语在</w:t>
            </w:r>
            <w:r>
              <w:rPr>
                <w:rFonts w:hint="eastAsia" w:asciiTheme="minorEastAsia" w:hAnsiTheme="minorEastAsia" w:eastAsiaTheme="minorEastAsia"/>
                <w:color w:val="333333"/>
                <w:sz w:val="21"/>
                <w:szCs w:val="21"/>
              </w:rPr>
              <w:t>课堂上予以讲授，对于</w:t>
            </w:r>
            <w:r>
              <w:rPr>
                <w:rFonts w:hint="eastAsia" w:asciiTheme="minorEastAsia" w:hAnsiTheme="minorEastAsia" w:eastAsiaTheme="minorEastAsia"/>
                <w:color w:val="333333"/>
                <w:sz w:val="21"/>
                <w:szCs w:val="21"/>
                <w:lang w:val="en-US" w:eastAsia="zh-CN"/>
              </w:rPr>
              <w:t>中央银行业务与货币政策工具采用线上自学线下讨论的方式进行</w:t>
            </w:r>
            <w:r>
              <w:rPr>
                <w:rFonts w:hint="eastAsia" w:asciiTheme="minorEastAsia" w:hAnsiTheme="minorEastAsia" w:eastAsiaTheme="minorEastAsia"/>
                <w:color w:val="333333"/>
                <w:sz w:val="21"/>
                <w:szCs w:val="21"/>
              </w:rPr>
              <w:t>。课堂主要运用讲授法</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rPr>
              <w:t>案例</w:t>
            </w:r>
            <w:r>
              <w:rPr>
                <w:rFonts w:hint="eastAsia" w:asciiTheme="minorEastAsia" w:hAnsiTheme="minorEastAsia" w:eastAsiaTheme="minorEastAsia"/>
                <w:color w:val="333333"/>
                <w:sz w:val="21"/>
                <w:szCs w:val="21"/>
                <w:lang w:val="en-US" w:eastAsia="zh-CN"/>
              </w:rPr>
              <w:t>分析与讨论</w:t>
            </w:r>
            <w:r>
              <w:rPr>
                <w:rFonts w:hint="eastAsia" w:asciiTheme="minorEastAsia" w:hAnsiTheme="minorEastAsia" w:eastAsiaTheme="minorEastAsia"/>
                <w:color w:val="333333"/>
                <w:sz w:val="21"/>
                <w:szCs w:val="21"/>
              </w:rPr>
              <w:t>开展教学，辅以启发式提问拓宽学生学习思路</w:t>
            </w:r>
          </w:p>
        </w:tc>
        <w:tc>
          <w:tcPr>
            <w:tcW w:w="962" w:type="dxa"/>
            <w:vAlign w:val="center"/>
          </w:tcPr>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课前：去中国人民银行官网了解其主要职责和功能</w:t>
            </w:r>
          </w:p>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课中：积极参与课堂讨论和案例分析</w:t>
            </w:r>
          </w:p>
          <w:p>
            <w:pPr>
              <w:jc w:val="left"/>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课后：延伸阅读“中国人民银行行使中央银行职能始末”</w:t>
            </w:r>
          </w:p>
        </w:tc>
        <w:tc>
          <w:tcPr>
            <w:tcW w:w="898"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目标1</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目标3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货币需求与货币供给</w:t>
            </w:r>
          </w:p>
        </w:tc>
        <w:tc>
          <w:tcPr>
            <w:tcW w:w="791" w:type="dxa"/>
            <w:vAlign w:val="center"/>
          </w:tcPr>
          <w:p>
            <w:pPr>
              <w:jc w:val="center"/>
              <w:rPr>
                <w:rFonts w:hint="default" w:ascii="宋体" w:hAnsi="宋体" w:eastAsia="宋体" w:cs="宋体"/>
                <w:b/>
                <w:bCs/>
                <w:color w:val="000000" w:themeColor="text1"/>
                <w:sz w:val="21"/>
                <w:szCs w:val="21"/>
                <w:lang w:val="en-US" w:eastAsia="zh-CN" w:bidi="ar-SA"/>
                <w14:textFill>
                  <w14:solidFill>
                    <w14:schemeClr w14:val="tx1"/>
                  </w14:solidFill>
                </w14:textFill>
              </w:rPr>
            </w:pPr>
            <w:r>
              <w:rPr>
                <w:rFonts w:hint="eastAsia" w:cs="宋体"/>
                <w:b/>
                <w:bCs/>
                <w:color w:val="000000" w:themeColor="text1"/>
                <w:sz w:val="21"/>
                <w:szCs w:val="21"/>
                <w:lang w:val="en-US" w:eastAsia="zh-CN" w:bidi="ar-SA"/>
                <w14:textFill>
                  <w14:solidFill>
                    <w14:schemeClr w14:val="tx1"/>
                  </w14:solidFill>
                </w14:textFill>
              </w:rPr>
              <w:t>5</w:t>
            </w:r>
          </w:p>
        </w:tc>
        <w:tc>
          <w:tcPr>
            <w:tcW w:w="4916"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货币需求理论；货币供给量的计量；货币供应过程</w:t>
            </w:r>
          </w:p>
          <w:p>
            <w:pPr>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影响货币需求的主要因素；中央银行的货币供给途径</w:t>
            </w:r>
          </w:p>
          <w:p>
            <w:pPr>
              <w:jc w:val="both"/>
              <w:rPr>
                <w:rFonts w:hint="eastAsia" w:ascii="宋体" w:hAnsi="宋体" w:eastAsia="宋体" w:cs="宋体"/>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线下教学。对于货币需求理论与货币供给的度量在课堂上予以讲授，采用推理演示的方式分析货币供应过程。课堂主要运用讲授法、例举法与演算法开展教学，</w:t>
            </w:r>
            <w:r>
              <w:rPr>
                <w:rFonts w:hint="eastAsia" w:asciiTheme="minorEastAsia" w:hAnsiTheme="minorEastAsia" w:eastAsiaTheme="minorEastAsia"/>
                <w:color w:val="333333"/>
                <w:sz w:val="21"/>
                <w:szCs w:val="21"/>
              </w:rPr>
              <w:t>辅以启发式提问拓宽学生学习思路</w:t>
            </w:r>
          </w:p>
        </w:tc>
        <w:tc>
          <w:tcPr>
            <w:tcW w:w="962" w:type="dxa"/>
            <w:vAlign w:val="center"/>
          </w:tcPr>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课前：回顾、查找经济学中的“供求平衡”分析  </w:t>
            </w:r>
          </w:p>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课中：积极参与课堂讨论</w:t>
            </w:r>
          </w:p>
          <w:p>
            <w:pPr>
              <w:jc w:val="left"/>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课后：完成计算题作业</w:t>
            </w:r>
          </w:p>
        </w:tc>
        <w:tc>
          <w:tcPr>
            <w:tcW w:w="898"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目标1</w:t>
            </w:r>
          </w:p>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目标2</w:t>
            </w:r>
          </w:p>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目标4</w:t>
            </w:r>
          </w:p>
          <w:p>
            <w:pPr>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通货膨胀与通货紧缩</w:t>
            </w:r>
          </w:p>
        </w:tc>
        <w:tc>
          <w:tcPr>
            <w:tcW w:w="791"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通货膨胀的类型；通过膨胀的原因与效应；通货膨胀治理的基本思路</w:t>
            </w:r>
          </w:p>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理解通货膨胀治理的基本原理</w:t>
            </w:r>
          </w:p>
          <w:p>
            <w:pPr>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结合市场化改革以来中国的通货膨胀治理进程，了解中国金融发展史。</w:t>
            </w:r>
          </w:p>
          <w:p>
            <w:pPr>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线上线下相结合。对于基本概念和理论内容在课堂上予以讲授，对于通货膨胀的治理采用线上资料查找线下讨论分析的方式进行。课堂主要运用讲授法、案例分析与讨论开展教学，</w:t>
            </w:r>
            <w:r>
              <w:rPr>
                <w:rFonts w:hint="eastAsia" w:asciiTheme="minorEastAsia" w:hAnsiTheme="minorEastAsia" w:eastAsiaTheme="minorEastAsia"/>
                <w:color w:val="333333"/>
                <w:sz w:val="21"/>
                <w:szCs w:val="21"/>
              </w:rPr>
              <w:t>辅以启发式提问拓宽学生学习思路</w:t>
            </w:r>
          </w:p>
          <w:p>
            <w:pPr>
              <w:adjustRightInd w:val="0"/>
              <w:jc w:val="both"/>
              <w:rPr>
                <w:rFonts w:hint="eastAsia" w:ascii="宋体" w:hAnsi="宋体" w:eastAsia="宋体" w:cs="宋体"/>
                <w:bCs/>
                <w:color w:val="000000" w:themeColor="text1"/>
                <w:sz w:val="21"/>
                <w:szCs w:val="21"/>
                <w:lang w:val="en-US" w:eastAsia="zh-CN" w:bidi="ar-SA"/>
                <w14:textFill>
                  <w14:solidFill>
                    <w14:schemeClr w14:val="tx1"/>
                  </w14:solidFill>
                </w14:textFill>
              </w:rPr>
            </w:pPr>
          </w:p>
        </w:tc>
        <w:tc>
          <w:tcPr>
            <w:tcW w:w="962" w:type="dxa"/>
            <w:vAlign w:val="center"/>
          </w:tcPr>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课前：上网搜找我国近30年的物价指数变动情况，进行绘图 </w:t>
            </w:r>
          </w:p>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课中：结合给定的案例进行讨论分析</w:t>
            </w:r>
          </w:p>
          <w:p>
            <w:pPr>
              <w:jc w:val="left"/>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课后：延伸阅读“新中国成立之初对恶性通货膨胀的治理”</w:t>
            </w:r>
          </w:p>
        </w:tc>
        <w:tc>
          <w:tcPr>
            <w:tcW w:w="898"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目标1</w:t>
            </w:r>
          </w:p>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目标3</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3"/>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418"/>
        <w:gridCol w:w="636"/>
        <w:gridCol w:w="159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418"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3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594"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实</w:t>
            </w:r>
          </w:p>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训</w:t>
            </w:r>
          </w:p>
        </w:tc>
        <w:tc>
          <w:tcPr>
            <w:tcW w:w="1183" w:type="dxa"/>
            <w:tcMar>
              <w:left w:w="28" w:type="dxa"/>
              <w:right w:w="28" w:type="dxa"/>
            </w:tcMar>
            <w:vAlign w:val="center"/>
          </w:tcPr>
          <w:p>
            <w:pPr>
              <w:jc w:val="center"/>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典型信用工具的对比</w:t>
            </w:r>
          </w:p>
        </w:tc>
        <w:tc>
          <w:tcPr>
            <w:tcW w:w="431" w:type="dxa"/>
            <w:tcMar>
              <w:left w:w="28" w:type="dxa"/>
              <w:right w:w="28" w:type="dxa"/>
            </w:tcMar>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w:t>
            </w:r>
          </w:p>
        </w:tc>
        <w:tc>
          <w:tcPr>
            <w:tcW w:w="3418" w:type="dxa"/>
            <w:tcMar>
              <w:left w:w="28" w:type="dxa"/>
              <w:right w:w="28" w:type="dxa"/>
            </w:tcMar>
            <w:vAlign w:val="center"/>
          </w:tcPr>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重点：信用工具的风险与收益</w:t>
            </w:r>
          </w:p>
          <w:p>
            <w:pPr>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难点：比较几种典型信用工具的特点</w:t>
            </w:r>
          </w:p>
          <w:p>
            <w:pPr>
              <w:jc w:val="left"/>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思政元素：通过对比信用工具的风险与收益特征表现，体会风险-收益的对等性，树立风险意识。</w:t>
            </w:r>
          </w:p>
        </w:tc>
        <w:tc>
          <w:tcPr>
            <w:tcW w:w="636" w:type="dxa"/>
            <w:tcMar>
              <w:left w:w="28" w:type="dxa"/>
              <w:right w:w="28" w:type="dxa"/>
            </w:tcMar>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训练</w:t>
            </w:r>
          </w:p>
        </w:tc>
        <w:tc>
          <w:tcPr>
            <w:tcW w:w="1594"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以小组为单位结合选取的信用工具，轮流进行汇报</w:t>
            </w:r>
          </w:p>
        </w:tc>
        <w:tc>
          <w:tcPr>
            <w:tcW w:w="895"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目标2</w:t>
            </w:r>
          </w:p>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目标4</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单利法与复利法</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418"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color w:val="000000" w:themeColor="text1"/>
                <w:sz w:val="21"/>
                <w:szCs w:val="21"/>
                <w:lang w:val="en-US" w:eastAsia="zh-CN"/>
                <w14:textFill>
                  <w14:solidFill>
                    <w14:schemeClr w14:val="tx1"/>
                  </w14:solidFill>
                </w14:textFill>
              </w:rPr>
              <w:t>现值与终值的计算</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零存整取、整存零取以及年金现值的计算</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r>
              <w:rPr>
                <w:rFonts w:hint="eastAsia" w:asciiTheme="minorEastAsia" w:hAnsiTheme="minorEastAsia" w:eastAsiaTheme="minorEastAsia"/>
                <w:b w:val="0"/>
                <w:bCs/>
                <w:color w:val="333333"/>
                <w:sz w:val="21"/>
                <w:szCs w:val="21"/>
                <w:lang w:val="en-US" w:eastAsia="zh-CN"/>
              </w:rPr>
              <w:t>通过复利法的基本逻辑，让学生意识到终身学习的必要性和重要性。</w:t>
            </w:r>
          </w:p>
        </w:tc>
        <w:tc>
          <w:tcPr>
            <w:tcW w:w="63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训练与验证</w:t>
            </w:r>
          </w:p>
        </w:tc>
        <w:tc>
          <w:tcPr>
            <w:tcW w:w="159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在任课老师的指导下完成给定案例和题目的演算</w:t>
            </w:r>
          </w:p>
        </w:tc>
        <w:tc>
          <w:tcPr>
            <w:tcW w:w="895"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汇率的标价</w:t>
            </w:r>
          </w:p>
        </w:tc>
        <w:tc>
          <w:tcPr>
            <w:tcW w:w="431" w:type="dxa"/>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418" w:type="dxa"/>
            <w:vAlign w:val="center"/>
          </w:tcPr>
          <w:p>
            <w:pPr>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重点：套算汇率的计算</w:t>
            </w:r>
          </w:p>
          <w:p>
            <w:pPr>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难点：交叉相乘法、同边相除法</w:t>
            </w:r>
          </w:p>
          <w:p>
            <w:pPr>
              <w:jc w:val="both"/>
              <w:rPr>
                <w:rFonts w:hint="default"/>
                <w:color w:val="000000" w:themeColor="text1"/>
                <w:sz w:val="21"/>
                <w:szCs w:val="21"/>
                <w:lang w:val="en-US" w:eastAsia="zh-CN"/>
                <w14:textFill>
                  <w14:solidFill>
                    <w14:schemeClr w14:val="tx1"/>
                  </w14:solidFill>
                </w14:textFill>
              </w:rPr>
            </w:pPr>
          </w:p>
        </w:tc>
        <w:tc>
          <w:tcPr>
            <w:tcW w:w="636" w:type="dxa"/>
            <w:vAlign w:val="center"/>
          </w:tcPr>
          <w:p>
            <w:pPr>
              <w:jc w:val="center"/>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w:t>
            </w:r>
          </w:p>
        </w:tc>
        <w:tc>
          <w:tcPr>
            <w:tcW w:w="1594" w:type="dxa"/>
            <w:vAlign w:val="center"/>
          </w:tcPr>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在任课教师的指导下，结合给定题目进行套算汇率的分析与计算</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模拟货币供给过程</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418"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color w:val="000000" w:themeColor="text1"/>
                <w:sz w:val="21"/>
                <w:szCs w:val="21"/>
                <w:lang w:val="en-US" w:eastAsia="zh-CN"/>
                <w14:textFill>
                  <w14:solidFill>
                    <w14:schemeClr w14:val="tx1"/>
                  </w14:solidFill>
                </w14:textFill>
              </w:rPr>
              <w:t>货币供应过程</w:t>
            </w:r>
          </w:p>
          <w:p>
            <w:pPr>
              <w:adjustRightIn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商业银行的货币创造功能与派生乘数</w:t>
            </w:r>
            <w:r>
              <w:rPr>
                <w:color w:val="000000" w:themeColor="text1"/>
                <w:sz w:val="21"/>
                <w:szCs w:val="21"/>
                <w14:textFill>
                  <w14:solidFill>
                    <w14:schemeClr w14:val="tx1"/>
                  </w14:solidFill>
                </w14:textFill>
              </w:rPr>
              <w:t xml:space="preserve"> </w:t>
            </w:r>
          </w:p>
          <w:p>
            <w:pPr>
              <w:adjustRightInd w:val="0"/>
              <w:rPr>
                <w:color w:val="000000" w:themeColor="text1"/>
                <w:sz w:val="21"/>
                <w:szCs w:val="21"/>
                <w14:textFill>
                  <w14:solidFill>
                    <w14:schemeClr w14:val="tx1"/>
                  </w14:solidFill>
                </w14:textFill>
              </w:rPr>
            </w:pPr>
          </w:p>
          <w:p>
            <w:pPr>
              <w:adjustRightInd w:val="0"/>
              <w:rPr>
                <w:color w:val="000000" w:themeColor="text1"/>
                <w:sz w:val="21"/>
                <w:szCs w:val="21"/>
                <w14:textFill>
                  <w14:solidFill>
                    <w14:schemeClr w14:val="tx1"/>
                  </w14:solidFill>
                </w14:textFill>
              </w:rPr>
            </w:pPr>
          </w:p>
        </w:tc>
        <w:tc>
          <w:tcPr>
            <w:tcW w:w="63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w:t>
            </w:r>
          </w:p>
        </w:tc>
        <w:tc>
          <w:tcPr>
            <w:tcW w:w="159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在任课老师的指导下，结合具体案例分析中央银行货币政策工具的类型，推演货币政策传导过程</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与</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期末考试等</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1.平时成绩（占总成绩的40%）：采用百分制。平时成绩分作业（占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课堂提问(占10%）、课内实训</w:t>
      </w:r>
      <w:r>
        <w:rPr>
          <w:rFonts w:hint="eastAsia" w:cs="Times New Roman" w:asciiTheme="minorEastAsia" w:hAnsiTheme="minorEastAsia" w:eastAsiaTheme="minorEastAsia"/>
          <w:color w:val="000000" w:themeColor="text1"/>
          <w:sz w:val="21"/>
          <w:szCs w:val="21"/>
          <w14:textFill>
            <w14:solidFill>
              <w14:schemeClr w14:val="tx1"/>
            </w14:solidFill>
          </w14:textFill>
        </w:rPr>
        <w:t>成绩（占1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%）和考勤（占10%）四个部分。评分标准如下表：</w:t>
      </w:r>
    </w:p>
    <w:p>
      <w:pPr>
        <w:spacing w:line="360" w:lineRule="auto"/>
        <w:ind w:firstLine="630" w:firstLineChars="3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val="en-US" w:eastAsia="zh-CN"/>
                <w14:textFill>
                  <w14:solidFill>
                    <w14:schemeClr w14:val="tx1"/>
                  </w14:solidFill>
                </w14:textFill>
              </w:rPr>
              <w:t>课堂提问；3.</w:t>
            </w:r>
            <w:r>
              <w:rPr>
                <w:rFonts w:hint="eastAsia" w:ascii="Times New Roman" w:cs="Times New Roman"/>
                <w:b/>
                <w:color w:val="000000" w:themeColor="text1"/>
                <w:sz w:val="21"/>
                <w:szCs w:val="21"/>
                <w:lang w:eastAsia="zh-CN"/>
                <w14:textFill>
                  <w14:solidFill>
                    <w14:schemeClr w14:val="tx1"/>
                  </w14:solidFill>
                </w14:textFill>
              </w:rPr>
              <w:t>小组汇报；</w:t>
            </w:r>
            <w:r>
              <w:rPr>
                <w:rFonts w:hint="eastAsia" w:ascii="Times New Roman" w:cs="Times New Roman"/>
                <w:b/>
                <w:color w:val="000000" w:themeColor="text1"/>
                <w:sz w:val="21"/>
                <w:szCs w:val="21"/>
                <w:lang w:val="en-US" w:eastAsia="zh-CN"/>
                <w14:textFill>
                  <w14:solidFill>
                    <w14:schemeClr w14:val="tx1"/>
                  </w14:solidFill>
                </w14:textFill>
              </w:rPr>
              <w:t>4.</w:t>
            </w:r>
            <w:r>
              <w:rPr>
                <w:rFonts w:hint="eastAsia" w:ascii="Times New Roman" w:cs="Times New Roman"/>
                <w:b/>
                <w:color w:val="000000" w:themeColor="text1"/>
                <w:sz w:val="21"/>
                <w:szCs w:val="21"/>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top"/>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vAlign w:val="top"/>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整洁；90％以上的习题解答正确无误</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对所提问题回答正确，表达流畅，内容完整</w:t>
            </w:r>
          </w:p>
          <w:p>
            <w:pPr>
              <w:rPr>
                <w:rFonts w:hint="default"/>
                <w:color w:val="333333"/>
                <w:sz w:val="21"/>
                <w:szCs w:val="21"/>
                <w:lang w:val="en-US" w:eastAsia="zh-CN"/>
              </w:rPr>
            </w:pPr>
            <w:r>
              <w:rPr>
                <w:rFonts w:hint="eastAsia"/>
                <w:color w:val="333333"/>
                <w:sz w:val="21"/>
                <w:szCs w:val="21"/>
              </w:rPr>
              <w:t>3.</w:t>
            </w:r>
            <w:r>
              <w:rPr>
                <w:rFonts w:hint="eastAsia"/>
                <w:color w:val="333333"/>
                <w:sz w:val="21"/>
                <w:szCs w:val="21"/>
                <w:lang w:val="en-US" w:eastAsia="zh-CN"/>
              </w:rPr>
              <w:t>积极主动参与；内容恰当，完整、准确、有深度；表达生动流畅逻辑性强</w:t>
            </w:r>
          </w:p>
          <w:p>
            <w:pPr>
              <w:rPr>
                <w:rFonts w:cs="Times New Roman"/>
                <w:color w:val="000000" w:themeColor="text1"/>
                <w:sz w:val="21"/>
                <w:szCs w:val="21"/>
                <w14:textFill>
                  <w14:solidFill>
                    <w14:schemeClr w14:val="tx1"/>
                  </w14:solidFill>
                </w14:textFill>
              </w:rPr>
            </w:pPr>
            <w:r>
              <w:rPr>
                <w:rFonts w:hint="eastAsia"/>
                <w:color w:val="333333"/>
                <w:sz w:val="21"/>
                <w:szCs w:val="21"/>
                <w:lang w:val="en-US" w:eastAsia="zh-CN"/>
              </w:rPr>
              <w:t>4.系统考勤全勤，事假、病假不超过1次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top"/>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vAlign w:val="top"/>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整洁；；80％以上的习题解答正确无误</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回答问题基本正确，表述较为流利，内容较为完整</w:t>
            </w:r>
          </w:p>
          <w:p>
            <w:pPr>
              <w:rPr>
                <w:rFonts w:hint="default"/>
                <w:color w:val="333333"/>
                <w:sz w:val="21"/>
                <w:szCs w:val="21"/>
                <w:lang w:val="en-US"/>
              </w:rPr>
            </w:pPr>
            <w:r>
              <w:rPr>
                <w:rFonts w:hint="eastAsia"/>
                <w:color w:val="333333"/>
                <w:sz w:val="21"/>
                <w:szCs w:val="21"/>
              </w:rPr>
              <w:t>3.</w:t>
            </w:r>
            <w:r>
              <w:rPr>
                <w:rFonts w:hint="eastAsia"/>
                <w:color w:val="333333"/>
                <w:sz w:val="21"/>
                <w:szCs w:val="21"/>
                <w:lang w:val="en-US" w:eastAsia="zh-CN"/>
              </w:rPr>
              <w:t>积极参与，较为主动；内容比较完整、准确；表述准确清晰，有一定的逻辑性</w:t>
            </w:r>
          </w:p>
          <w:p>
            <w:pPr>
              <w:rPr>
                <w:rFonts w:cs="Times New Roman"/>
                <w:color w:val="000000" w:themeColor="text1"/>
                <w:sz w:val="21"/>
                <w:szCs w:val="21"/>
                <w14:textFill>
                  <w14:solidFill>
                    <w14:schemeClr w14:val="tx1"/>
                  </w14:solidFill>
                </w14:textFill>
              </w:rPr>
            </w:pPr>
            <w:r>
              <w:rPr>
                <w:rFonts w:hint="eastAsia"/>
                <w:color w:val="333333"/>
                <w:sz w:val="21"/>
                <w:szCs w:val="21"/>
                <w:lang w:val="en-US" w:eastAsia="zh-CN"/>
              </w:rPr>
              <w:t>4.系统考勤全勤，事假、病假不超过2次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top"/>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vAlign w:val="top"/>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整洁；70％以上的习题解答正确无误</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回答基本无误，表达基本流利，内容基本完整</w:t>
            </w:r>
          </w:p>
          <w:p>
            <w:pPr>
              <w:rPr>
                <w:rFonts w:hint="default"/>
                <w:color w:val="333333"/>
                <w:sz w:val="21"/>
                <w:szCs w:val="21"/>
                <w:lang w:val="en-US" w:eastAsia="zh-CN"/>
              </w:rPr>
            </w:pPr>
            <w:r>
              <w:rPr>
                <w:rFonts w:hint="eastAsia"/>
                <w:color w:val="333333"/>
                <w:sz w:val="21"/>
                <w:szCs w:val="21"/>
              </w:rPr>
              <w:t>3.</w:t>
            </w:r>
            <w:r>
              <w:rPr>
                <w:rFonts w:hint="eastAsia"/>
                <w:color w:val="333333"/>
                <w:sz w:val="21"/>
                <w:szCs w:val="21"/>
                <w:lang w:val="en-US" w:eastAsia="zh-CN"/>
              </w:rPr>
              <w:t>参与较积极，主动性有待提高；内容基本完整、基本合理；讲述基本清楚</w:t>
            </w:r>
          </w:p>
          <w:p>
            <w:pPr>
              <w:rPr>
                <w:rFonts w:cs="Times New Roman"/>
                <w:color w:val="000000" w:themeColor="text1"/>
                <w:sz w:val="21"/>
                <w:szCs w:val="21"/>
                <w14:textFill>
                  <w14:solidFill>
                    <w14:schemeClr w14:val="tx1"/>
                  </w14:solidFill>
                </w14:textFill>
              </w:rPr>
            </w:pPr>
            <w:r>
              <w:rPr>
                <w:rFonts w:hint="eastAsia"/>
                <w:color w:val="333333"/>
                <w:sz w:val="21"/>
                <w:szCs w:val="21"/>
                <w:lang w:val="en-US" w:eastAsia="zh-CN"/>
              </w:rPr>
              <w:t>4.系统考勤全勤，事假、病假不超过3次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top"/>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vAlign w:val="top"/>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；60％以上的习题解答正确无误</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回答虽然不正确，但能够表达自己的观点</w:t>
            </w:r>
          </w:p>
          <w:p>
            <w:pPr>
              <w:rPr>
                <w:rFonts w:hint="eastAsia"/>
                <w:color w:val="333333"/>
                <w:sz w:val="21"/>
                <w:szCs w:val="21"/>
                <w:lang w:val="en-US" w:eastAsia="zh-CN"/>
              </w:rPr>
            </w:pPr>
            <w:r>
              <w:rPr>
                <w:rFonts w:hint="eastAsia"/>
                <w:color w:val="333333"/>
                <w:sz w:val="21"/>
                <w:szCs w:val="21"/>
              </w:rPr>
              <w:t>3.</w:t>
            </w:r>
            <w:r>
              <w:rPr>
                <w:rFonts w:hint="eastAsia"/>
                <w:color w:val="333333"/>
                <w:sz w:val="21"/>
                <w:szCs w:val="21"/>
                <w:lang w:val="en-US" w:eastAsia="zh-CN"/>
              </w:rPr>
              <w:t>被动参与；有一定的准备，但内容不完整、观点错误，逻辑混乱</w:t>
            </w:r>
          </w:p>
          <w:p>
            <w:pPr>
              <w:rPr>
                <w:rFonts w:hint="default" w:eastAsia="宋体"/>
                <w:color w:val="333333"/>
                <w:sz w:val="21"/>
                <w:szCs w:val="21"/>
                <w:lang w:val="en-US" w:eastAsia="zh-CN"/>
              </w:rPr>
            </w:pPr>
            <w:r>
              <w:rPr>
                <w:rFonts w:hint="eastAsia"/>
                <w:color w:val="333333"/>
                <w:sz w:val="21"/>
                <w:szCs w:val="21"/>
                <w:lang w:val="en-US" w:eastAsia="zh-CN"/>
              </w:rPr>
              <w:t>4.系统考勤全勤</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top"/>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vAlign w:val="top"/>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不给予任何回答</w:t>
            </w:r>
          </w:p>
          <w:p>
            <w:pPr>
              <w:rPr>
                <w:rFonts w:hint="default" w:eastAsia="宋体"/>
                <w:color w:val="333333"/>
                <w:sz w:val="21"/>
                <w:szCs w:val="21"/>
                <w:lang w:val="en-US" w:eastAsia="zh-CN"/>
              </w:rPr>
            </w:pPr>
            <w:r>
              <w:rPr>
                <w:rFonts w:hint="eastAsia"/>
                <w:color w:val="333333"/>
                <w:sz w:val="21"/>
                <w:szCs w:val="21"/>
              </w:rPr>
              <w:t>3.</w:t>
            </w:r>
            <w:r>
              <w:rPr>
                <w:rFonts w:hint="eastAsia"/>
                <w:color w:val="333333"/>
                <w:sz w:val="21"/>
                <w:szCs w:val="21"/>
                <w:lang w:val="en-US" w:eastAsia="zh-CN"/>
              </w:rPr>
              <w:t>放弃参与，不予回答</w:t>
            </w:r>
          </w:p>
          <w:p>
            <w:pPr>
              <w:rPr>
                <w:rFonts w:cs="Times New Roman"/>
                <w:color w:val="000000" w:themeColor="text1"/>
                <w:sz w:val="21"/>
                <w:szCs w:val="21"/>
                <w14:textFill>
                  <w14:solidFill>
                    <w14:schemeClr w14:val="tx1"/>
                  </w14:solidFill>
                </w14:textFill>
              </w:rPr>
            </w:pPr>
            <w:r>
              <w:rPr>
                <w:rFonts w:hint="eastAsia"/>
                <w:color w:val="333333"/>
                <w:sz w:val="21"/>
                <w:szCs w:val="21"/>
                <w:lang w:val="en-US" w:eastAsia="zh-CN"/>
              </w:rPr>
              <w:t>4.课堂管理系统考勤，3次及以上无故缺勤</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%）：采用百分制。期末考试的考核内容、题型和分值分配情况请见下表：</w:t>
      </w:r>
    </w:p>
    <w:tbl>
      <w:tblPr>
        <w:tblStyle w:val="3"/>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913"/>
        <w:gridCol w:w="2018"/>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3913"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2018"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sz w:val="21"/>
                <w:szCs w:val="21"/>
                <w:lang w:val="en-US" w:eastAsia="zh-CN"/>
              </w:rPr>
              <w:t>货币与货币制度</w:t>
            </w:r>
          </w:p>
        </w:tc>
        <w:tc>
          <w:tcPr>
            <w:tcW w:w="3913" w:type="dxa"/>
            <w:vAlign w:val="center"/>
          </w:tcPr>
          <w:p>
            <w:pPr>
              <w:snapToGrid w:val="0"/>
              <w:ind w:left="181" w:leftChars="0"/>
              <w:jc w:val="both"/>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333333"/>
                <w:sz w:val="21"/>
                <w:szCs w:val="21"/>
                <w:lang w:val="en-US" w:eastAsia="zh-CN"/>
              </w:rPr>
              <w:t>货币的形态、货币的职能</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w:t>
            </w:r>
          </w:p>
        </w:tc>
        <w:tc>
          <w:tcPr>
            <w:tcW w:w="798" w:type="dxa"/>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913" w:type="dxa"/>
            <w:vAlign w:val="center"/>
          </w:tcPr>
          <w:p>
            <w:pPr>
              <w:snapToGrid w:val="0"/>
              <w:ind w:left="181" w:leftChars="0"/>
              <w:jc w:val="both"/>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货币制度的演进</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w:t>
            </w:r>
          </w:p>
        </w:tc>
        <w:tc>
          <w:tcPr>
            <w:tcW w:w="79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913" w:type="dxa"/>
            <w:vAlign w:val="center"/>
          </w:tcPr>
          <w:p>
            <w:pPr>
              <w:snapToGrid w:val="0"/>
              <w:ind w:left="181" w:leftChars="0"/>
              <w:jc w:val="both"/>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货币制度的主要内容</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w:t>
            </w:r>
            <w:r>
              <w:rPr>
                <w:rFonts w:hint="eastAsia"/>
                <w:color w:val="000000" w:themeColor="text1"/>
                <w:sz w:val="21"/>
                <w:szCs w:val="21"/>
                <w14:textFill>
                  <w14:solidFill>
                    <w14:schemeClr w14:val="tx1"/>
                  </w14:solidFill>
                </w14:textFill>
              </w:rPr>
              <w:t>题</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简答题</w:t>
            </w:r>
          </w:p>
        </w:tc>
        <w:tc>
          <w:tcPr>
            <w:tcW w:w="79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目标2</w:t>
            </w: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信用与信用形式</w:t>
            </w: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信用的构成要素</w:t>
            </w:r>
          </w:p>
        </w:tc>
        <w:tc>
          <w:tcPr>
            <w:tcW w:w="201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79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现代信用的主要形式</w:t>
            </w:r>
          </w:p>
        </w:tc>
        <w:tc>
          <w:tcPr>
            <w:tcW w:w="2018"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选择题、名词解释、简答题</w:t>
            </w:r>
          </w:p>
        </w:tc>
        <w:tc>
          <w:tcPr>
            <w:tcW w:w="798" w:type="dxa"/>
            <w:vAlign w:val="center"/>
          </w:tcPr>
          <w:p>
            <w:pPr>
              <w:snapToGrid w:val="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目标3</w:t>
            </w:r>
          </w:p>
        </w:tc>
        <w:tc>
          <w:tcPr>
            <w:tcW w:w="678"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利率与汇率</w:t>
            </w: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利息的本质与来源、利率的影响因素</w:t>
            </w:r>
          </w:p>
        </w:tc>
        <w:tc>
          <w:tcPr>
            <w:tcW w:w="201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79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color w:val="000000" w:themeColor="text1"/>
                <w:sz w:val="21"/>
                <w:szCs w:val="21"/>
                <w14:textFill>
                  <w14:solidFill>
                    <w14:schemeClr w14:val="tx1"/>
                  </w14:solidFill>
                </w14:textFill>
              </w:rPr>
            </w:pP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利率的类型</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w:t>
            </w:r>
          </w:p>
        </w:tc>
        <w:tc>
          <w:tcPr>
            <w:tcW w:w="79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tcPr>
          <w:p>
            <w:pPr>
              <w:snapToGrid w:val="0"/>
              <w:rPr>
                <w:color w:val="000000" w:themeColor="text1"/>
                <w:sz w:val="21"/>
                <w:szCs w:val="21"/>
                <w14:textFill>
                  <w14:solidFill>
                    <w14:schemeClr w14:val="tx1"/>
                  </w14:solidFill>
                </w14:textFill>
              </w:rPr>
            </w:pPr>
          </w:p>
        </w:tc>
        <w:tc>
          <w:tcPr>
            <w:tcW w:w="3913" w:type="dxa"/>
            <w:vAlign w:val="center"/>
          </w:tcPr>
          <w:p>
            <w:pPr>
              <w:snapToGrid w:val="0"/>
              <w:ind w:firstLine="210" w:firstLineChars="10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单利法与复利法</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计算题</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tcPr>
          <w:p>
            <w:pPr>
              <w:snapToGrid w:val="0"/>
              <w:rPr>
                <w:color w:val="000000" w:themeColor="text1"/>
                <w:sz w:val="21"/>
                <w:szCs w:val="21"/>
                <w14:textFill>
                  <w14:solidFill>
                    <w14:schemeClr w14:val="tx1"/>
                  </w14:solidFill>
                </w14:textFill>
              </w:rPr>
            </w:pPr>
          </w:p>
        </w:tc>
        <w:tc>
          <w:tcPr>
            <w:tcW w:w="3913" w:type="dxa"/>
            <w:vAlign w:val="center"/>
          </w:tcPr>
          <w:p>
            <w:pPr>
              <w:snapToGrid w:val="0"/>
              <w:ind w:firstLine="210" w:firstLineChars="10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外汇的含义、汇率的标价方法</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选择题、简答题</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金融中介体系与商业银行</w:t>
            </w: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金融机构的类型、金融机构体系的构成</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选择题、简答题</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目标3目标4</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jc w:val="center"/>
              <w:rPr>
                <w:rFonts w:hint="eastAsia"/>
                <w:color w:val="000000" w:themeColor="text1"/>
                <w:sz w:val="21"/>
                <w:szCs w:val="21"/>
                <w:lang w:val="en-US" w:eastAsia="zh-CN"/>
                <w14:textFill>
                  <w14:solidFill>
                    <w14:schemeClr w14:val="tx1"/>
                  </w14:solidFill>
                </w14:textFill>
              </w:rPr>
            </w:pPr>
          </w:p>
        </w:tc>
        <w:tc>
          <w:tcPr>
            <w:tcW w:w="3913" w:type="dxa"/>
            <w:vAlign w:val="center"/>
          </w:tcPr>
          <w:p>
            <w:pPr>
              <w:snapToGrid w:val="0"/>
              <w:ind w:left="181" w:leftChars="0"/>
              <w:jc w:val="both"/>
              <w:rPr>
                <w:rFonts w:hint="default"/>
                <w:color w:val="333333"/>
                <w:sz w:val="21"/>
                <w:szCs w:val="21"/>
                <w:lang w:val="en-US" w:eastAsia="zh-CN"/>
              </w:rPr>
            </w:pPr>
            <w:r>
              <w:rPr>
                <w:rFonts w:hint="eastAsia"/>
                <w:color w:val="333333"/>
                <w:sz w:val="21"/>
                <w:szCs w:val="21"/>
                <w:lang w:val="en-US" w:eastAsia="zh-CN"/>
              </w:rPr>
              <w:t>资金融通的渠道及应用</w:t>
            </w:r>
          </w:p>
        </w:tc>
        <w:tc>
          <w:tcPr>
            <w:tcW w:w="201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w:t>
            </w:r>
          </w:p>
        </w:tc>
        <w:tc>
          <w:tcPr>
            <w:tcW w:w="0" w:type="auto"/>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目标2目标4</w:t>
            </w:r>
          </w:p>
        </w:tc>
        <w:tc>
          <w:tcPr>
            <w:tcW w:w="0" w:type="auto"/>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tcPr>
          <w:p>
            <w:pPr>
              <w:snapToGrid w:val="0"/>
              <w:rPr>
                <w:color w:val="000000" w:themeColor="text1"/>
                <w:sz w:val="21"/>
                <w:szCs w:val="21"/>
                <w14:textFill>
                  <w14:solidFill>
                    <w14:schemeClr w14:val="tx1"/>
                  </w14:solidFill>
                </w14:textFill>
              </w:rPr>
            </w:pP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商业银行的组织形式、主要业务</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选择题、简答题</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tcPr>
          <w:p>
            <w:pPr>
              <w:snapToGrid w:val="0"/>
              <w:rPr>
                <w:color w:val="000000" w:themeColor="text1"/>
                <w:sz w:val="21"/>
                <w:szCs w:val="21"/>
                <w14:textFill>
                  <w14:solidFill>
                    <w14:schemeClr w14:val="tx1"/>
                  </w14:solidFill>
                </w14:textFill>
              </w:rPr>
            </w:pP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商业银行的经营管理三原则</w:t>
            </w:r>
          </w:p>
        </w:tc>
        <w:tc>
          <w:tcPr>
            <w:tcW w:w="2018" w:type="dxa"/>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目标2目标3</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其他金融机构</w:t>
            </w:r>
          </w:p>
        </w:tc>
        <w:tc>
          <w:tcPr>
            <w:tcW w:w="3913" w:type="dxa"/>
            <w:vAlign w:val="center"/>
          </w:tcPr>
          <w:p>
            <w:pPr>
              <w:snapToGrid w:val="0"/>
              <w:ind w:left="181" w:leftChars="0"/>
              <w:jc w:val="both"/>
              <w:rPr>
                <w:rFonts w:hint="default" w:ascii="宋体" w:hAnsi="宋体" w:eastAsia="宋体" w:cs="宋体"/>
                <w:color w:val="333333"/>
                <w:sz w:val="21"/>
                <w:szCs w:val="21"/>
                <w:lang w:val="en-US" w:eastAsia="zh-CN" w:bidi="ar-SA"/>
              </w:rPr>
            </w:pPr>
            <w:r>
              <w:rPr>
                <w:rFonts w:hint="eastAsia"/>
                <w:color w:val="333333"/>
                <w:sz w:val="21"/>
                <w:szCs w:val="21"/>
                <w:lang w:val="en-US" w:eastAsia="zh-CN"/>
              </w:rPr>
              <w:t>证券投资基金的特点、保险机构的业务类型</w:t>
            </w:r>
          </w:p>
        </w:tc>
        <w:tc>
          <w:tcPr>
            <w:tcW w:w="201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选择题、简答题</w:t>
            </w:r>
          </w:p>
        </w:tc>
        <w:tc>
          <w:tcPr>
            <w:tcW w:w="0" w:type="auto"/>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目标2目标3</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金融市场</w:t>
            </w:r>
          </w:p>
        </w:tc>
        <w:tc>
          <w:tcPr>
            <w:tcW w:w="3913"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lang w:val="en-US" w:eastAsia="zh-CN"/>
              </w:rPr>
              <w:t>金融市场的特点、金融市场的类型</w:t>
            </w:r>
          </w:p>
        </w:tc>
        <w:tc>
          <w:tcPr>
            <w:tcW w:w="201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jc w:val="center"/>
              <w:rPr>
                <w:rFonts w:hint="eastAsia"/>
                <w:color w:val="000000" w:themeColor="text1"/>
                <w:sz w:val="21"/>
                <w:szCs w:val="21"/>
                <w:lang w:val="en-US" w:eastAsia="zh-CN"/>
                <w14:textFill>
                  <w14:solidFill>
                    <w14:schemeClr w14:val="tx1"/>
                  </w14:solidFill>
                </w14:textFill>
              </w:rPr>
            </w:pPr>
          </w:p>
        </w:tc>
        <w:tc>
          <w:tcPr>
            <w:tcW w:w="3913"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lang w:val="en-US" w:eastAsia="zh-CN"/>
              </w:rPr>
              <w:t>货币市场的特点、构成</w:t>
            </w:r>
          </w:p>
        </w:tc>
        <w:tc>
          <w:tcPr>
            <w:tcW w:w="201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选择题、名词解释、简答题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目标2目标3</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jc w:val="center"/>
              <w:rPr>
                <w:rFonts w:hint="eastAsia"/>
                <w:color w:val="000000" w:themeColor="text1"/>
                <w:sz w:val="21"/>
                <w:szCs w:val="21"/>
                <w:lang w:val="en-US" w:eastAsia="zh-CN"/>
                <w14:textFill>
                  <w14:solidFill>
                    <w14:schemeClr w14:val="tx1"/>
                  </w14:solidFill>
                </w14:textFill>
              </w:rPr>
            </w:pPr>
          </w:p>
        </w:tc>
        <w:tc>
          <w:tcPr>
            <w:tcW w:w="3913" w:type="dxa"/>
            <w:vAlign w:val="center"/>
          </w:tcPr>
          <w:p>
            <w:pPr>
              <w:snapToGrid w:val="0"/>
              <w:ind w:left="181" w:leftChars="0"/>
              <w:jc w:val="both"/>
              <w:rPr>
                <w:rFonts w:hint="eastAsia" w:ascii="宋体" w:hAnsi="宋体" w:eastAsia="宋体" w:cs="宋体"/>
                <w:color w:val="333333"/>
                <w:sz w:val="21"/>
                <w:szCs w:val="21"/>
                <w:lang w:val="en-US" w:eastAsia="zh-CN" w:bidi="ar-SA"/>
              </w:rPr>
            </w:pPr>
            <w:r>
              <w:rPr>
                <w:rFonts w:hint="eastAsia"/>
                <w:color w:val="333333"/>
                <w:sz w:val="21"/>
                <w:szCs w:val="21"/>
                <w:lang w:val="en-US" w:eastAsia="zh-CN"/>
              </w:rPr>
              <w:t>资本市场的构成</w:t>
            </w:r>
          </w:p>
        </w:tc>
        <w:tc>
          <w:tcPr>
            <w:tcW w:w="201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89" w:type="dxa"/>
            <w:vMerge w:val="restart"/>
            <w:vAlign w:val="center"/>
          </w:tcPr>
          <w:p>
            <w:pPr>
              <w:snapToGri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中央银行与货币政策</w:t>
            </w:r>
          </w:p>
        </w:tc>
        <w:tc>
          <w:tcPr>
            <w:tcW w:w="3913" w:type="dxa"/>
            <w:vAlign w:val="center"/>
          </w:tcPr>
          <w:p>
            <w:pPr>
              <w:snapToGrid w:val="0"/>
              <w:ind w:left="462" w:leftChars="86" w:hanging="273" w:hangingChars="13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中央银行的性质与职能、业务</w:t>
            </w:r>
          </w:p>
        </w:tc>
        <w:tc>
          <w:tcPr>
            <w:tcW w:w="2018" w:type="dxa"/>
            <w:vAlign w:val="top"/>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jc w:val="center"/>
              <w:rPr>
                <w:rFonts w:hint="eastAsia"/>
                <w:color w:val="000000" w:themeColor="text1"/>
                <w:sz w:val="21"/>
                <w:szCs w:val="21"/>
                <w:lang w:val="en-US" w:eastAsia="zh-CN"/>
                <w14:textFill>
                  <w14:solidFill>
                    <w14:schemeClr w14:val="tx1"/>
                  </w14:solidFill>
                </w14:textFill>
              </w:rPr>
            </w:pPr>
          </w:p>
        </w:tc>
        <w:tc>
          <w:tcPr>
            <w:tcW w:w="3913" w:type="dxa"/>
            <w:vAlign w:val="center"/>
          </w:tcPr>
          <w:p>
            <w:pPr>
              <w:snapToGrid w:val="0"/>
              <w:ind w:left="462" w:leftChars="86" w:hanging="273" w:hangingChars="13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三大一般性的货币政策工具</w:t>
            </w:r>
          </w:p>
        </w:tc>
        <w:tc>
          <w:tcPr>
            <w:tcW w:w="2018" w:type="dxa"/>
            <w:vAlign w:val="top"/>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选择题、名词解释、案例或材料分析题</w:t>
            </w:r>
          </w:p>
        </w:tc>
        <w:tc>
          <w:tcPr>
            <w:tcW w:w="0" w:type="auto"/>
            <w:vAlign w:val="center"/>
          </w:tcPr>
          <w:p>
            <w:pPr>
              <w:snapToGrid w:val="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目标1目标3</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tcPr>
          <w:p>
            <w:pPr>
              <w:snapToGrid w:val="0"/>
              <w:jc w:val="center"/>
              <w:rPr>
                <w:rFonts w:hint="eastAsia"/>
                <w:color w:val="000000" w:themeColor="text1"/>
                <w:sz w:val="21"/>
                <w:szCs w:val="21"/>
                <w:lang w:val="en-US" w:eastAsia="zh-CN"/>
                <w14:textFill>
                  <w14:solidFill>
                    <w14:schemeClr w14:val="tx1"/>
                  </w14:solidFill>
                </w14:textFill>
              </w:rPr>
            </w:pPr>
          </w:p>
        </w:tc>
        <w:tc>
          <w:tcPr>
            <w:tcW w:w="3913" w:type="dxa"/>
            <w:vAlign w:val="center"/>
          </w:tcPr>
          <w:p>
            <w:pPr>
              <w:snapToGrid w:val="0"/>
              <w:ind w:left="462" w:leftChars="86" w:hanging="273" w:hangingChars="13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货币政策传导机制、政策效果</w:t>
            </w:r>
          </w:p>
        </w:tc>
        <w:tc>
          <w:tcPr>
            <w:tcW w:w="2018" w:type="dxa"/>
            <w:vAlign w:val="top"/>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货币需求与货币供给</w:t>
            </w:r>
          </w:p>
        </w:tc>
        <w:tc>
          <w:tcPr>
            <w:tcW w:w="3913" w:type="dxa"/>
            <w:vAlign w:val="center"/>
          </w:tcPr>
          <w:p>
            <w:pPr>
              <w:snapToGrid w:val="0"/>
              <w:ind w:left="462" w:leftChars="86" w:hanging="273" w:hangingChars="13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货币需求理论、需求影响因素</w:t>
            </w:r>
          </w:p>
        </w:tc>
        <w:tc>
          <w:tcPr>
            <w:tcW w:w="2018" w:type="dxa"/>
            <w:vAlign w:val="top"/>
          </w:tcPr>
          <w:p>
            <w:pPr>
              <w:snapToGrid w:val="0"/>
              <w:ind w:firstLine="630" w:firstLineChars="3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tcPr>
          <w:p>
            <w:pPr>
              <w:snapToGrid w:val="0"/>
              <w:jc w:val="center"/>
              <w:rPr>
                <w:rFonts w:hint="eastAsia"/>
                <w:color w:val="000000" w:themeColor="text1"/>
                <w:sz w:val="21"/>
                <w:szCs w:val="21"/>
                <w:lang w:val="en-US" w:eastAsia="zh-CN"/>
                <w14:textFill>
                  <w14:solidFill>
                    <w14:schemeClr w14:val="tx1"/>
                  </w14:solidFill>
                </w14:textFill>
              </w:rPr>
            </w:pPr>
          </w:p>
        </w:tc>
        <w:tc>
          <w:tcPr>
            <w:tcW w:w="3913" w:type="dxa"/>
            <w:vAlign w:val="center"/>
          </w:tcPr>
          <w:p>
            <w:pPr>
              <w:snapToGrid w:val="0"/>
              <w:ind w:left="462" w:leftChars="86" w:hanging="273" w:hangingChars="13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中央银行与商业银行的货币供应过程</w:t>
            </w:r>
          </w:p>
        </w:tc>
        <w:tc>
          <w:tcPr>
            <w:tcW w:w="2018" w:type="dxa"/>
            <w:vAlign w:val="top"/>
          </w:tcPr>
          <w:p>
            <w:pPr>
              <w:snapToGrid w:val="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选择题、名词解释、计算题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目标2目标4</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通货膨胀与通货紧缩</w:t>
            </w:r>
          </w:p>
        </w:tc>
        <w:tc>
          <w:tcPr>
            <w:tcW w:w="3913" w:type="dxa"/>
            <w:vAlign w:val="center"/>
          </w:tcPr>
          <w:p>
            <w:pPr>
              <w:snapToGrid w:val="0"/>
              <w:ind w:left="462" w:leftChars="86" w:hanging="273" w:hangingChars="13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通货膨胀的含义、类型</w:t>
            </w:r>
          </w:p>
        </w:tc>
        <w:tc>
          <w:tcPr>
            <w:tcW w:w="2018" w:type="dxa"/>
            <w:vAlign w:val="top"/>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选择题、名词解释</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continue"/>
            <w:vAlign w:val="center"/>
          </w:tcPr>
          <w:p>
            <w:pPr>
              <w:snapToGrid w:val="0"/>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3913" w:type="dxa"/>
            <w:vAlign w:val="center"/>
          </w:tcPr>
          <w:p>
            <w:pPr>
              <w:snapToGrid w:val="0"/>
              <w:ind w:firstLine="210" w:firstLineChars="1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通货膨胀的效应及治理</w:t>
            </w:r>
          </w:p>
        </w:tc>
        <w:tc>
          <w:tcPr>
            <w:tcW w:w="2018" w:type="dxa"/>
            <w:vAlign w:val="top"/>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tc>
        <w:tc>
          <w:tcPr>
            <w:tcW w:w="0" w:type="auto"/>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bl>
    <w:p>
      <w:pPr>
        <w:pStyle w:val="7"/>
        <w:numPr>
          <w:ilvl w:val="0"/>
          <w:numId w:val="2"/>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4"/>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rFonts w:hint="eastAsia" w:eastAsia="宋体"/>
                <w:color w:val="333333"/>
                <w:sz w:val="21"/>
                <w:szCs w:val="21"/>
                <w:lang w:val="en-US" w:eastAsia="zh-CN"/>
              </w:rPr>
            </w:pPr>
            <w:r>
              <w:rPr>
                <w:rFonts w:hint="eastAsia"/>
                <w:color w:val="333333"/>
                <w:sz w:val="21"/>
                <w:szCs w:val="21"/>
                <w:lang w:val="en-US" w:eastAsia="zh-CN"/>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讲师</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16周</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企业微信，每周三晚上</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办公室，每周四下午3：00-5：00</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黄达.金融学（第五版）[M].北京：中国人民大学出版社，2020年7月.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蒋先玲.货币金融学（第3版）[M].北京：机械工业出版社，2021年4月.</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弗雷德里克</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S</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米什金.</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货币金融学(第十二版）[M].北京：中国人民大学出版社，2021年4月.</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彭兴韵.金融学原理（第五版）[M].上海：格致出版社，2013年9月.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ascii="DFKai-SB" w:hAnsi="DFKai-SB" w:eastAsia="宋体"/>
          <w:lang w:eastAsia="zh-CN"/>
        </w:rPr>
        <w:t>金融经济学网站</w:t>
      </w:r>
      <w:r>
        <w:rPr>
          <w:rFonts w:hint="eastAsia" w:ascii="DFKai-SB" w:hAnsi="DFKai-SB"/>
          <w:lang w:val="en-US" w:eastAsia="zh-CN"/>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http://www.</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finweb.com/</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中国大学MOOC,http://www.icourse163.org/</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[3]人大经济论坛，</w:t>
      </w:r>
      <w: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t>http://www.pinggu.org/</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[4]金融监管网，</w:t>
      </w:r>
      <w: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t>http://www.</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flr-cass</w:t>
      </w:r>
      <w: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t>.org/</w:t>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肖云</w:t>
      </w:r>
    </w:p>
    <w:p>
      <w:pPr>
        <w:spacing w:line="360" w:lineRule="auto"/>
        <w:ind w:firstLine="5775" w:firstLineChars="275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金彦、刘飞雨</w:t>
      </w:r>
    </w:p>
    <w:p>
      <w:pPr>
        <w:spacing w:line="360" w:lineRule="auto"/>
        <w:ind w:firstLine="5775" w:firstLineChars="2750"/>
        <w:jc w:val="right"/>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刘飞雨</w:t>
      </w:r>
      <w:bookmarkStart w:id="0" w:name="_GoBack"/>
      <w:bookmarkEnd w:id="0"/>
    </w:p>
    <w:p>
      <w:pPr>
        <w:spacing w:line="360" w:lineRule="auto"/>
        <w:ind w:firstLine="5775" w:firstLineChars="2750"/>
        <w:jc w:val="right"/>
      </w:pPr>
      <w:r>
        <w:rPr>
          <w:rFonts w:hint="eastAsia"/>
          <w:bCs/>
          <w:color w:val="000000" w:themeColor="text1"/>
          <w:sz w:val="21"/>
          <w:szCs w:val="21"/>
          <w14:textFill>
            <w14:solidFill>
              <w14:schemeClr w14:val="tx1"/>
            </w14:solidFill>
          </w14:textFill>
        </w:rPr>
        <w:t>学院（部）审核人：***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3E59BB8E"/>
    <w:multiLevelType w:val="singleLevel"/>
    <w:tmpl w:val="3E59BB8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1BE1FC5"/>
    <w:rsid w:val="01D06AE7"/>
    <w:rsid w:val="03D37459"/>
    <w:rsid w:val="075D5BEF"/>
    <w:rsid w:val="0D9A0A83"/>
    <w:rsid w:val="0F1D0347"/>
    <w:rsid w:val="17143557"/>
    <w:rsid w:val="19764305"/>
    <w:rsid w:val="1CDF29BF"/>
    <w:rsid w:val="1F2675FD"/>
    <w:rsid w:val="21AA3A8F"/>
    <w:rsid w:val="22846ED5"/>
    <w:rsid w:val="2F1B2C59"/>
    <w:rsid w:val="393257DB"/>
    <w:rsid w:val="3D1B46A4"/>
    <w:rsid w:val="3E126175"/>
    <w:rsid w:val="3F4E50D3"/>
    <w:rsid w:val="3FF22DC2"/>
    <w:rsid w:val="4A892C6F"/>
    <w:rsid w:val="55160C9A"/>
    <w:rsid w:val="56296F07"/>
    <w:rsid w:val="60751729"/>
    <w:rsid w:val="689C384C"/>
    <w:rsid w:val="6A316523"/>
    <w:rsid w:val="6EA41F0D"/>
    <w:rsid w:val="6FD40FF4"/>
    <w:rsid w:val="718B6969"/>
    <w:rsid w:val="719962AB"/>
    <w:rsid w:val="771B5CE5"/>
    <w:rsid w:val="7DD2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annotation reference"/>
    <w:basedOn w:val="5"/>
    <w:qFormat/>
    <w:uiPriority w:val="0"/>
    <w:rPr>
      <w:sz w:val="21"/>
      <w:szCs w:val="21"/>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肖云</cp:lastModifiedBy>
  <dcterms:modified xsi:type="dcterms:W3CDTF">2022-02-25T05:53:47Z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71CD4C366D35489F9367998F6ED59920</vt:lpwstr>
  </property>
</Properties>
</file>