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jc w:val="center"/>
        <w:textAlignment w:val="auto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趣味经济学（通选）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line="380" w:lineRule="exact"/>
        <w:ind w:firstLine="562" w:firstLineChars="200"/>
        <w:textAlignment w:val="auto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8"/>
        <w:tblW w:w="843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158"/>
        <w:gridCol w:w="1629"/>
        <w:gridCol w:w="1600"/>
        <w:gridCol w:w="147"/>
        <w:gridCol w:w="10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通识课程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趣味经济学(通选）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2771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Interesting Economics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TX10C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2771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金贸学院各专业除外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277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eastAsia="宋体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</w:p>
        </w:tc>
        <w:tc>
          <w:tcPr>
            <w:tcW w:w="4400" w:type="dxa"/>
            <w:gridSpan w:val="4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032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400" w:type="dxa"/>
            <w:gridSpan w:val="4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金融与贸易学院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二、课程简介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="宋体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/>
          <w:sz w:val="21"/>
          <w:szCs w:val="21"/>
        </w:rPr>
        <w:t>《</w:t>
      </w:r>
      <w:r>
        <w:rPr>
          <w:rFonts w:hint="eastAsia"/>
          <w:sz w:val="21"/>
          <w:szCs w:val="21"/>
          <w:lang w:val="en-US" w:eastAsia="zh-CN"/>
        </w:rPr>
        <w:t>趣味经济学</w:t>
      </w:r>
      <w:r>
        <w:rPr>
          <w:rFonts w:hint="eastAsia"/>
          <w:sz w:val="21"/>
          <w:szCs w:val="21"/>
        </w:rPr>
        <w:t>（通选）》是金融与贸易学院为我校除金融学类、国贸、电商专业以外的其他专业开设的一门通识教育选修课程</w:t>
      </w:r>
      <w:r>
        <w:rPr>
          <w:rFonts w:hint="eastAsia"/>
          <w:color w:val="000000"/>
          <w:sz w:val="21"/>
          <w:szCs w:val="21"/>
        </w:rPr>
        <w:t>。</w:t>
      </w:r>
      <w:r>
        <w:rPr>
          <w:rFonts w:hint="eastAsia"/>
          <w:color w:val="000000"/>
          <w:sz w:val="21"/>
          <w:szCs w:val="21"/>
          <w:lang w:val="en-US" w:eastAsia="zh-CN"/>
        </w:rPr>
        <w:t>课程围绕供求原理、消费者行为和生产者行为理论、市场结构理论、市场失灵、国民收入核算及宏观经济政策等经济学知识展开，帮助学生掌握常见的经济学原理，培养经济思维与意识，</w:t>
      </w:r>
      <w:r>
        <w:rPr>
          <w:rFonts w:hint="eastAsia"/>
          <w:color w:val="000000"/>
          <w:sz w:val="21"/>
          <w:szCs w:val="21"/>
        </w:rPr>
        <w:t>从而使</w:t>
      </w:r>
      <w:r>
        <w:rPr>
          <w:rFonts w:hint="eastAsia"/>
          <w:color w:val="000000"/>
          <w:sz w:val="21"/>
          <w:szCs w:val="21"/>
          <w:lang w:val="en-US" w:eastAsia="zh-CN"/>
        </w:rPr>
        <w:t>其在对生活和工作中运用所学知识更加理性地做出判断和选择</w:t>
      </w:r>
      <w:r>
        <w:rPr>
          <w:rFonts w:hint="eastAsia"/>
          <w:color w:val="000000"/>
          <w:sz w:val="21"/>
          <w:szCs w:val="21"/>
        </w:rPr>
        <w:t>。本课程</w:t>
      </w:r>
      <w:r>
        <w:rPr>
          <w:rFonts w:hint="eastAsia"/>
          <w:sz w:val="21"/>
          <w:szCs w:val="21"/>
          <w:lang w:val="en-US" w:eastAsia="zh-CN"/>
        </w:rPr>
        <w:t>以</w:t>
      </w:r>
      <w:r>
        <w:rPr>
          <w:rFonts w:hint="eastAsia"/>
          <w:color w:val="000000"/>
          <w:sz w:val="21"/>
          <w:szCs w:val="21"/>
          <w:lang w:val="en-US" w:eastAsia="zh-CN"/>
        </w:rPr>
        <w:t>案例或小故事开头</w:t>
      </w:r>
      <w:r>
        <w:rPr>
          <w:rFonts w:hint="eastAsia"/>
          <w:sz w:val="21"/>
          <w:szCs w:val="21"/>
          <w:lang w:val="en-US" w:eastAsia="zh-CN"/>
        </w:rPr>
        <w:t>，</w:t>
      </w:r>
      <w:r>
        <w:rPr>
          <w:rFonts w:hint="eastAsia"/>
          <w:sz w:val="21"/>
          <w:szCs w:val="21"/>
        </w:rPr>
        <w:t>以理性与原理回归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尝试从学生熟悉的生活现象入手，揭示简单现象背后蕴含的经济学知识，</w:t>
      </w:r>
      <w:r>
        <w:rPr>
          <w:rFonts w:hint="eastAsia"/>
          <w:color w:val="000000"/>
          <w:sz w:val="21"/>
          <w:szCs w:val="21"/>
          <w:lang w:val="en-US" w:eastAsia="zh-CN"/>
        </w:rPr>
        <w:t>是一门</w:t>
      </w:r>
      <w:r>
        <w:rPr>
          <w:rFonts w:hint="eastAsia"/>
          <w:sz w:val="21"/>
          <w:szCs w:val="21"/>
          <w:lang w:val="en-US" w:eastAsia="zh-CN"/>
        </w:rPr>
        <w:t>兼具趣味性和应用性的课程。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ind w:firstLine="562" w:firstLineChars="200"/>
        <w:textAlignment w:val="auto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课程教学目标</w:t>
      </w:r>
    </w:p>
    <w:tbl>
      <w:tblPr>
        <w:tblStyle w:val="7"/>
        <w:tblpPr w:leftFromText="180" w:rightFromText="180" w:vertAnchor="text" w:horzAnchor="margin" w:tblpX="-67" w:tblpY="174"/>
        <w:tblW w:w="86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3998"/>
        <w:gridCol w:w="2786"/>
        <w:gridCol w:w="12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00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</w:tc>
        <w:tc>
          <w:tcPr>
            <w:tcW w:w="2786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指标点</w:t>
            </w:r>
          </w:p>
        </w:tc>
        <w:tc>
          <w:tcPr>
            <w:tcW w:w="12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602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998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经济学基本原理</w:t>
            </w:r>
            <w:r>
              <w:rPr>
                <w:rFonts w:hint="eastAsia"/>
                <w:sz w:val="21"/>
                <w:szCs w:val="21"/>
              </w:rPr>
              <w:t>:对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供求原理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消费者行为理论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生产者行为理论、市场结构理论、一般均衡理论、市场失灵、国民收入核算、宏观经济政策等知识</w:t>
            </w:r>
            <w:r>
              <w:rPr>
                <w:rFonts w:hint="eastAsia"/>
                <w:color w:val="000000"/>
                <w:sz w:val="21"/>
                <w:szCs w:val="21"/>
              </w:rPr>
              <w:t>有基本的认识。</w:t>
            </w:r>
          </w:p>
        </w:tc>
        <w:tc>
          <w:tcPr>
            <w:tcW w:w="2786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7-1：</w:t>
            </w:r>
            <w:r>
              <w:rPr>
                <w:rFonts w:hint="eastAsia"/>
              </w:rPr>
              <w:t>了解其他相关领域知识，形成文理交叉、融入哲学、文学、语言、现代信息技术等课程，能够综合性的跨学科学习，达到知识的扩展和综合素质的提升。</w:t>
            </w:r>
          </w:p>
        </w:tc>
        <w:tc>
          <w:tcPr>
            <w:tcW w:w="1234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.通识性知识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02" w:type="dxa"/>
            <w:vMerge w:val="restart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998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tabs>
                <w:tab w:val="left" w:pos="1440"/>
              </w:tabs>
              <w:outlineLvl w:val="0"/>
              <w:rPr>
                <w:rFonts w:hint="default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能够灵活运用经济学的基础知识、原理分析具体的经济现象。</w:t>
            </w:r>
          </w:p>
        </w:tc>
        <w:tc>
          <w:tcPr>
            <w:tcW w:w="2786" w:type="dxa"/>
            <w:vAlign w:val="center"/>
          </w:tcPr>
          <w:p>
            <w:pP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9-</w:t>
            </w:r>
            <w:r>
              <w:t>1</w:t>
            </w:r>
            <w:r>
              <w:rPr>
                <w:rFonts w:hint="eastAsia"/>
              </w:rPr>
              <w:t>能够在经贸实践活动中灵活运用所掌握的专业知识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234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运用</w:t>
            </w:r>
            <w:r>
              <w:rPr>
                <w:rFonts w:hint="eastAsia"/>
                <w:sz w:val="21"/>
                <w:szCs w:val="21"/>
              </w:rPr>
              <w:t>知识的能力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602" w:type="dxa"/>
            <w:vMerge w:val="continue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0" w:lineRule="atLeast"/>
              <w:ind w:left="0" w:right="0" w:firstLine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0" w:lineRule="atLeast"/>
              <w:ind w:left="0" w:right="0" w:firstLine="0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培养经济学思维与意识，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提升自学能力，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独立思考，学会从不同的角度去看待问题。</w:t>
            </w:r>
          </w:p>
        </w:tc>
        <w:tc>
          <w:tcPr>
            <w:tcW w:w="2786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12-1：</w:t>
            </w:r>
            <w:r>
              <w:rPr>
                <w:rFonts w:hint="eastAsia"/>
              </w:rPr>
              <w:t>养成独立思考的习惯</w:t>
            </w:r>
          </w:p>
        </w:tc>
        <w:tc>
          <w:tcPr>
            <w:tcW w:w="1234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12.</w:t>
            </w:r>
            <w:r>
              <w:rPr>
                <w:rFonts w:hint="eastAsia"/>
                <w:color w:val="000000"/>
                <w:sz w:val="21"/>
                <w:szCs w:val="21"/>
              </w:rPr>
              <w:t>思辨与创新思维的能力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02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hint="default" w:eastAsia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素质目标</w:t>
            </w:r>
          </w:p>
        </w:tc>
        <w:tc>
          <w:tcPr>
            <w:tcW w:w="399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0" w:lineRule="atLeast"/>
              <w:ind w:left="0" w:right="0" w:firstLine="0"/>
              <w:rPr>
                <w:i w:val="0"/>
                <w:iCs w:val="0"/>
                <w:caps w:val="0"/>
                <w:color w:val="777777"/>
                <w:spacing w:val="0"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目标4：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0" w:lineRule="atLeast"/>
              <w:ind w:left="0" w:right="0" w:firstLine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通过本课程的学习，将经济学思维运用到生活中，学以致用</w:t>
            </w:r>
            <w:r>
              <w:rPr>
                <w:rFonts w:hint="eastAsia" w:cs="宋体"/>
                <w:kern w:val="0"/>
                <w:sz w:val="22"/>
                <w:szCs w:val="22"/>
                <w:lang w:val="en-US" w:eastAsia="zh-CN" w:bidi="ar-SA"/>
              </w:rPr>
              <w:t>。</w:t>
            </w:r>
          </w:p>
          <w:p>
            <w:pPr>
              <w:tabs>
                <w:tab w:val="left" w:pos="1440"/>
              </w:tabs>
              <w:outlineLvl w:val="0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86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3-</w:t>
            </w:r>
            <w:r>
              <w:t>4</w:t>
            </w:r>
            <w:r>
              <w:rPr>
                <w:rFonts w:hint="eastAsia"/>
              </w:rPr>
              <w:t xml:space="preserve"> 初步具备从事经贸理论应用的基本能力</w:t>
            </w:r>
          </w:p>
        </w:tc>
        <w:tc>
          <w:tcPr>
            <w:tcW w:w="1234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专业素质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ind w:firstLine="562" w:firstLineChars="200"/>
        <w:textAlignment w:val="auto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（一）理论教学</w:t>
      </w:r>
    </w:p>
    <w:tbl>
      <w:tblPr>
        <w:tblStyle w:val="7"/>
        <w:tblW w:w="85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648"/>
        <w:gridCol w:w="4757"/>
        <w:gridCol w:w="1214"/>
        <w:gridCol w:w="8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教学模块 </w:t>
            </w:r>
          </w:p>
        </w:tc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475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主要教学内容与策略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学习任务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供求原理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57" w:type="dxa"/>
            <w:vAlign w:val="center"/>
          </w:tcPr>
          <w:p>
            <w:pPr>
              <w:adjustRightInd w:val="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稀缺与选择；需求理论；供给理论；市场均衡与供求定理；政府限价；弹性理论。</w:t>
            </w:r>
          </w:p>
          <w:p>
            <w:pPr>
              <w:adjustRightInd w:val="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均衡分析方法；需求弹性与销售收入的关系。</w:t>
            </w:r>
          </w:p>
          <w:p>
            <w:pPr>
              <w:adjustRightInd w:val="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介绍《中央定价目录》实施及其变化过程，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说明我国市场经济不断走向深入的趋势，以及国家惠民利民的大国担当。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线下教学。对于原理在课堂上予以讲授，主要运用案例法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和图示法帮助学生理解“谷贱伤农、丰年歉收”、“薄利多销”的经济学原理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，辅以启发式提问拓宽学生学习思路。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课前：通过线上资源进行预习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课堂：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加强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课堂互动</w:t>
            </w:r>
          </w:p>
          <w:p>
            <w:pPr>
              <w:adjustRightInd w:val="0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课后：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81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消费者行为理论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5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基数效用论和边际效用分析法；序数效用论和无差异曲线分析法。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边际效用递减规律；消费者剩余；序数效用论的消费者均衡分析。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引导思考当前社会存在的虚构高价、谎称降价的经济现象，指导切忌被卖方价格优惠假象所迷惑而冲动购买，保持良好的心理素质，提高学生结合经济原理做出理性判断和选择的能力。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线下教学。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讲授法和案例法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为主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开展教学，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通过广泛的课堂交流强化对边际效用递减规律原理的认识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课前：通过线上资源进行预习</w:t>
            </w:r>
          </w:p>
          <w:p>
            <w:pPr>
              <w:adjustRightInd w:val="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课堂：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针对学生的消费者行为开展交流</w:t>
            </w:r>
          </w:p>
          <w:p>
            <w:pPr>
              <w:adjustRightInd w:val="0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课后：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思考“水和钻石的悖论”的经济学原理</w:t>
            </w:r>
          </w:p>
        </w:tc>
        <w:tc>
          <w:tcPr>
            <w:tcW w:w="81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生产者行为理论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5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短期与长期生产的差别；边际报酬递减规律；企业的生产决策；经济成本分析。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机会成本；生产者均衡分析。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线下教学。对于思想、原理在课堂上予以讲授，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对机会成本等知识采用案例分析方法，运用图示法分析企业会计成本和经济成本的区别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课前：通过线上资源进行预习</w:t>
            </w:r>
          </w:p>
          <w:p>
            <w:pPr>
              <w:adjustRightInd w:val="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课堂：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强调知识运用</w:t>
            </w:r>
            <w:bookmarkStart w:id="0" w:name="_GoBack"/>
            <w:bookmarkEnd w:id="0"/>
          </w:p>
          <w:p>
            <w:pPr>
              <w:adjustRightInd w:val="0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课后：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思考“三季稻不如双季稻”的经济学原理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市场结构理论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5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市场与市场结构；市场集中度；完全竞争市场；完全垄断市场；垄断竞争市场；寡头市场。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价格歧视；博弈分析。</w:t>
            </w:r>
          </w:p>
          <w:p>
            <w:pPr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线下教学。对于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市场结构的基础知识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在课堂上予以讲授，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运用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案例法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比较法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开展教学，辅以启发式提问拓宽学生学习思路。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课前：通过线上资源进行预习</w:t>
            </w:r>
          </w:p>
          <w:p>
            <w:pPr>
              <w:adjustRightInd w:val="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课堂：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强调学以致用，加强互动，指导理解“囚徒的困境”</w:t>
            </w:r>
          </w:p>
          <w:p>
            <w:pPr>
              <w:adjustRightInd w:val="0"/>
              <w:rPr>
                <w:rFonts w:hint="default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课后：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81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一般均衡与市场失灵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5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局部均衡与一般均衡；判断经济效率的标准；垄断、公共物品、外部性、信息不对称等市场失灵现象及其处理。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帕累托改进与帕累托最优；外部经济与外部不经济。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通过外部不经济、不完全信息现象的分析，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</w:rPr>
              <w:t>培养学生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val="en-US" w:eastAsia="zh-CN"/>
              </w:rPr>
              <w:t>遵守法治、尊重他人、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</w:rPr>
              <w:t>诚实守信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</w:rPr>
              <w:t>优良品格。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线下教学。对于思想、原理在课堂上予以讲授，主要运用讲授法和案例法开展教学，辅以启发式提问拓宽学生学习思路。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课前：通过线上资源进行预习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课堂：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加强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课堂互动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课后：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思考“公地悲剧”、“工厂排污的解决”、“农妇卖辣椒”和“如何做到大家都满意”蕴含的经济学原理</w:t>
            </w:r>
          </w:p>
        </w:tc>
        <w:tc>
          <w:tcPr>
            <w:tcW w:w="81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国民收入核算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5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GDP的核算方法；名义GDP与实际GDP；均衡产出的决定、失业与通货膨胀。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国内生产总值的理解；国民收入的核算；失业与通货膨胀的关系。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结合中国近年来经济飞速发展、提质增效、综合国力不断增强的现状，提升学生的民族自豪感。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线下教学。对于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基础知识和原理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在课堂上予以讲授，辅以启发式提问拓宽学生学习思路。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课前：通过线上资源进行预习</w:t>
            </w:r>
          </w:p>
          <w:p>
            <w:pPr>
              <w:adjustRightInd w:val="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课堂：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围绕国民经济运行的现状开展讨论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课后：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练习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宏观经济政策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5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宏观经济政策目标；财政政策；货币政策。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财政政策与货币政策的选择。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线下教学。主要运用讲授法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开展教学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，辅以启发式提问拓宽学生学习思路。</w:t>
            </w:r>
          </w:p>
        </w:tc>
        <w:tc>
          <w:tcPr>
            <w:tcW w:w="1214" w:type="dxa"/>
            <w:vAlign w:val="center"/>
          </w:tcPr>
          <w:p>
            <w:pPr>
              <w:adjustRightInd w:val="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课前：通过线上资源进行预习</w:t>
            </w:r>
          </w:p>
          <w:p>
            <w:pPr>
              <w:adjustRightInd w:val="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课堂：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讲解相关知识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课后：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81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ind w:firstLine="562" w:firstLineChars="200"/>
        <w:textAlignment w:val="auto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考核与评价是对课程教学目标中的知识目标、能力目标和素质目标等进行综合评价。在本课程中，学生的最终成绩是由平时成绩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期末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考查两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个部分组成。</w:t>
      </w:r>
    </w:p>
    <w:p>
      <w:pPr>
        <w:numPr>
          <w:ilvl w:val="0"/>
          <w:numId w:val="2"/>
        </w:num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平时成绩（占总成绩的40%）：采用百分制。平时成绩分作业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成绩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（占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15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%）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eastAsia="zh-CN"/>
        </w:rPr>
        <w:t>、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课堂表现成绩（占10%）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和考勤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成绩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（占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15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%）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三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个部分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评分标准如下表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eastAsia="zh-CN"/>
        </w:rPr>
        <w:t>：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sz w:val="21"/>
                <w:szCs w:val="21"/>
              </w:rPr>
              <w:t>等级</w:t>
            </w:r>
          </w:p>
        </w:tc>
        <w:tc>
          <w:tcPr>
            <w:tcW w:w="6954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sz w:val="21"/>
                <w:szCs w:val="21"/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6954" w:type="dxa"/>
            <w:vAlign w:val="center"/>
          </w:tcPr>
          <w:p>
            <w:pPr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1.作业；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课堂表现；3.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考勤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</w:tcPr>
          <w:p>
            <w:pPr>
              <w:spacing w:line="329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（90～100分）</w:t>
            </w:r>
          </w:p>
        </w:tc>
        <w:tc>
          <w:tcPr>
            <w:tcW w:w="6954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1.作业书写</w:t>
            </w:r>
            <w:r>
              <w:rPr>
                <w:sz w:val="21"/>
                <w:szCs w:val="21"/>
              </w:rPr>
              <w:t>工整、</w:t>
            </w:r>
            <w:r>
              <w:rPr>
                <w:rFonts w:hint="eastAsia"/>
                <w:sz w:val="21"/>
                <w:szCs w:val="21"/>
              </w:rPr>
              <w:t>书面</w:t>
            </w:r>
            <w:r>
              <w:rPr>
                <w:sz w:val="21"/>
                <w:szCs w:val="21"/>
              </w:rPr>
              <w:t>整洁；90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%</w:t>
            </w:r>
            <w:r>
              <w:rPr>
                <w:sz w:val="21"/>
                <w:szCs w:val="21"/>
              </w:rPr>
              <w:t>以上的习题解答正确</w:t>
            </w:r>
          </w:p>
          <w:p>
            <w:pPr>
              <w:spacing w:line="28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课堂表现活跃，积极回答问题</w:t>
            </w:r>
          </w:p>
          <w:p>
            <w:pPr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.全勤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</w:tcPr>
          <w:p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（80～89分）</w:t>
            </w:r>
          </w:p>
        </w:tc>
        <w:tc>
          <w:tcPr>
            <w:tcW w:w="6954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1.作业书写</w:t>
            </w:r>
            <w:r>
              <w:rPr>
                <w:sz w:val="21"/>
                <w:szCs w:val="21"/>
              </w:rPr>
              <w:t>工整、</w:t>
            </w:r>
            <w:r>
              <w:rPr>
                <w:rFonts w:hint="eastAsia"/>
                <w:sz w:val="21"/>
                <w:szCs w:val="21"/>
              </w:rPr>
              <w:t>书面</w:t>
            </w:r>
            <w:r>
              <w:rPr>
                <w:sz w:val="21"/>
                <w:szCs w:val="21"/>
              </w:rPr>
              <w:t>整洁；80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%</w:t>
            </w:r>
            <w:r>
              <w:rPr>
                <w:sz w:val="21"/>
                <w:szCs w:val="21"/>
              </w:rPr>
              <w:t>以上的习题解答正确</w:t>
            </w:r>
          </w:p>
          <w:p>
            <w:pPr>
              <w:spacing w:line="28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2.课堂表现较好，主动参与互动</w:t>
            </w:r>
          </w:p>
          <w:p>
            <w:pP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.旷课1次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以内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</w:tcPr>
          <w:p>
            <w:pPr>
              <w:spacing w:line="3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（70～79分）</w:t>
            </w:r>
          </w:p>
        </w:tc>
        <w:tc>
          <w:tcPr>
            <w:tcW w:w="6954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1.作业书写较</w:t>
            </w:r>
            <w:r>
              <w:rPr>
                <w:sz w:val="21"/>
                <w:szCs w:val="21"/>
              </w:rPr>
              <w:t>工整、</w:t>
            </w:r>
            <w:r>
              <w:rPr>
                <w:rFonts w:hint="eastAsia"/>
                <w:sz w:val="21"/>
                <w:szCs w:val="21"/>
              </w:rPr>
              <w:t>书面较</w:t>
            </w:r>
            <w:r>
              <w:rPr>
                <w:sz w:val="21"/>
                <w:szCs w:val="21"/>
              </w:rPr>
              <w:t>整洁；70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%</w:t>
            </w:r>
            <w:r>
              <w:rPr>
                <w:sz w:val="21"/>
                <w:szCs w:val="21"/>
              </w:rPr>
              <w:t>以上的习题解答正确</w:t>
            </w:r>
          </w:p>
          <w:p>
            <w:pPr>
              <w:spacing w:line="28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课堂表现较积极，能够参与互动</w:t>
            </w:r>
          </w:p>
          <w:p>
            <w:pP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.旷课2次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以内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</w:tcPr>
          <w:p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（60～69分）</w:t>
            </w:r>
          </w:p>
        </w:tc>
        <w:tc>
          <w:tcPr>
            <w:tcW w:w="6954" w:type="dxa"/>
          </w:tcPr>
          <w:p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1.作业书写一般、书面整洁度一般；60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/>
                <w:sz w:val="21"/>
                <w:szCs w:val="21"/>
              </w:rPr>
              <w:t>以上的习题解答正确</w:t>
            </w:r>
          </w:p>
          <w:p>
            <w:pPr>
              <w:spacing w:line="28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课堂表现一般，基本未参与互动</w:t>
            </w:r>
          </w:p>
          <w:p>
            <w:pPr>
              <w:spacing w:line="280" w:lineRule="exact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.旷课3次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以内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</w:tcPr>
          <w:p>
            <w:pPr>
              <w:spacing w:line="272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（60以下）</w:t>
            </w:r>
          </w:p>
        </w:tc>
        <w:tc>
          <w:tcPr>
            <w:tcW w:w="6954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字迹模糊、卷面书写零乱；超过40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%</w:t>
            </w:r>
            <w:r>
              <w:rPr>
                <w:sz w:val="21"/>
                <w:szCs w:val="21"/>
              </w:rPr>
              <w:t>的习题解答不正确</w:t>
            </w:r>
          </w:p>
          <w:p>
            <w:pPr>
              <w:spacing w:line="28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课堂表现不积极，未参与互动</w:t>
            </w:r>
          </w:p>
          <w:p>
            <w:pPr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.旷课4次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及以上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360" w:lineRule="auto"/>
        <w:ind w:left="0" w:leftChars="0" w:firstLine="420" w:firstLineChars="200"/>
        <w:textAlignment w:val="auto"/>
        <w:rPr>
          <w:rFonts w:hint="eastAsia"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期末考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查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（占总成绩的60%）：采用百分制。期末考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查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采取课程论文或大作业形式，要求学生结合所学经济原理对生活中的经济现象进行说明和分析，评分标准如下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：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sz w:val="21"/>
                <w:szCs w:val="21"/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>
            <w:pPr>
              <w:rPr>
                <w:rFonts w:hint="default" w:ascii="Times New Roman" w:cs="Times New Roman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对经济现象的观察能力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对经济学原理的掌握情况和对问题的分析能力；3.论文或大作业的观点和结构；4.论文或大作业的语言表达和格式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29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对经济现象观察非常仔细且能够全面地进行说明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对经济学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概念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清晰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已经很好地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掌握了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经济学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基础理论和专业知识，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运用经济学原理分析和解决现实问题的能力较强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观点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正确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思路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清晰，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结构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完整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语言表达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流畅，书写美观工整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对经济现象观察较为仔细且能够较为全面地进行说明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对经济学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概念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较为清晰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已经较好地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掌握了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经济学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基础理论和专业知识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运用经济学原理分析和解决现实问题的能力较好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观点较为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正确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思路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较为清晰，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结构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较为完整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语言表达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较为流畅，书写较为美观工整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>
            <w:pP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对经济现象有一定的观察但说明不够全面</w:t>
            </w:r>
          </w:p>
          <w:p>
            <w:pP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对经济学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概念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基本理解但不够深入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，掌握了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部分经济学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基础理论和专业知识，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运用经济学原理分析和解决现实问题的能力一般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观点基本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正确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，但有明显不足，思路的清晰程度和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结构的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完整程度一般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语言表达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一般，书写尚可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对经济现象观察不够仔细，说明不够全面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对经济学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概念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有起码的理解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仅掌握了部分经济学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基础理论和专业知识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运用经济学原理分析和解决现实问题的能力较弱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观点不够准确，思路不够清晰，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结构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不够完整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语言表达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不够流畅，书写不够工整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272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>
            <w:pP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对经济现象观察不仔细，说明不全面</w:t>
            </w:r>
          </w:p>
          <w:p>
            <w:pP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对经济学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概念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基本理解和运用能力较差</w:t>
            </w:r>
          </w:p>
          <w:p>
            <w:pP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观点不明确，思路不清晰，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结构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不完整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语言表达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较差，书写不工整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ind w:left="0" w:firstLine="562" w:firstLineChars="200"/>
        <w:textAlignment w:val="auto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tbl>
      <w:tblPr>
        <w:tblStyle w:val="8"/>
        <w:tblpPr w:leftFromText="180" w:rightFromText="180" w:vertAnchor="text" w:horzAnchor="page" w:tblpX="1754" w:tblpY="198"/>
        <w:tblOverlap w:val="never"/>
        <w:tblW w:w="86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654"/>
        <w:gridCol w:w="6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671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300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讲师及以上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学历（位）：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  <w:p>
            <w:pP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>
            <w:pPr>
              <w:snapToGrid w:val="0"/>
              <w:ind w:left="181"/>
              <w:jc w:val="center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周次：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1-16周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2节/周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>
            <w:pPr>
              <w:snapToGrid w:val="0"/>
              <w:ind w:left="181"/>
              <w:jc w:val="center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教室         □实验室       □室外场地  </w:t>
            </w:r>
          </w:p>
          <w:p>
            <w:pP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>
            <w:pPr>
              <w:snapToGrid w:val="0"/>
              <w:ind w:left="181"/>
              <w:jc w:val="center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企业微信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开课后时间另行安排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授课教室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开课后时间另行安排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七、选用教材</w:t>
      </w:r>
    </w:p>
    <w:p>
      <w:pPr>
        <w:spacing w:line="360" w:lineRule="auto"/>
        <w:ind w:firstLine="420" w:firstLineChars="200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徐丹丹，徐秋慧.经济学导论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[M].北京: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机械工业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出版社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2019年1月.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钱威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经济学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[M].北京: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清华大学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出版社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高鸿业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.</w:t>
      </w:r>
      <w:r>
        <w:rPr>
          <w:rFonts w:hint="eastAsia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西方经济学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</w:t>
      </w:r>
      <w:r>
        <w:rPr>
          <w:rFonts w:hint="eastAsia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版）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.</w:t>
      </w:r>
      <w:r>
        <w:rPr>
          <w:rFonts w:hint="eastAsia" w:cs="宋体"/>
          <w:bCs/>
          <w:sz w:val="21"/>
          <w:szCs w:val="21"/>
          <w:lang w:val="en-US" w:eastAsia="zh-CN"/>
        </w:rPr>
        <w:t>北京:中国人民大学出版社，2021年8月</w:t>
      </w:r>
    </w:p>
    <w:p>
      <w:pPr>
        <w:spacing w:line="360" w:lineRule="auto"/>
        <w:ind w:firstLine="420" w:firstLineChars="200"/>
        <w:rPr>
          <w:rFonts w:hint="default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hint="eastAsia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梁晓民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.</w:t>
      </w:r>
      <w:r>
        <w:rPr>
          <w:rFonts w:hint="eastAsia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西方经济学基础教程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.</w:t>
      </w:r>
      <w:r>
        <w:rPr>
          <w:rFonts w:hint="eastAsia" w:cs="宋体"/>
          <w:bCs/>
          <w:sz w:val="21"/>
          <w:szCs w:val="21"/>
          <w:lang w:val="en-US" w:eastAsia="zh-CN"/>
        </w:rPr>
        <w:t>北京:北京大学出版社，2014年9月</w:t>
      </w:r>
    </w:p>
    <w:p>
      <w:pPr>
        <w:spacing w:line="360" w:lineRule="auto"/>
        <w:ind w:firstLine="420" w:firstLineChars="200"/>
        <w:rPr>
          <w:rFonts w:hint="eastAsia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</w:t>
      </w:r>
      <w:r>
        <w:rPr>
          <w:rFonts w:hint="eastAsia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[美]曼昆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cs="宋体"/>
          <w:sz w:val="21"/>
          <w:szCs w:val="21"/>
          <w:lang w:val="en-US" w:eastAsia="zh-CN"/>
        </w:rPr>
        <w:t>经济学原理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</w:t>
      </w:r>
      <w:r>
        <w:rPr>
          <w:rFonts w:hint="eastAsia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版）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</w:t>
      </w:r>
      <w:r>
        <w:rPr>
          <w:rFonts w:hint="eastAsia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北京:北京大学出版社，2015年5月</w:t>
      </w:r>
    </w:p>
    <w:p>
      <w:pPr>
        <w:spacing w:line="360" w:lineRule="auto"/>
        <w:ind w:firstLine="420" w:firstLineChars="200"/>
        <w:rPr>
          <w:rFonts w:hint="default" w:cs="宋体"/>
          <w:sz w:val="21"/>
          <w:szCs w:val="21"/>
          <w:lang w:val="en-US" w:eastAsia="zh-CN"/>
        </w:rPr>
      </w:pPr>
      <w:r>
        <w:rPr>
          <w:rFonts w:hint="eastAsia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[4]</w:t>
      </w:r>
      <w:r>
        <w:rPr>
          <w:rFonts w:hint="eastAsia" w:cs="宋体"/>
          <w:sz w:val="21"/>
          <w:szCs w:val="21"/>
          <w:lang w:val="en-US" w:eastAsia="zh-CN"/>
        </w:rPr>
        <w:fldChar w:fldCharType="begin"/>
      </w:r>
      <w:r>
        <w:rPr>
          <w:rFonts w:hint="eastAsia" w:cs="宋体"/>
          <w:sz w:val="21"/>
          <w:szCs w:val="21"/>
          <w:lang w:val="en-US" w:eastAsia="zh-CN"/>
        </w:rPr>
        <w:instrText xml:space="preserve"> HYPERLINK "http://search.dangdang.com/?key2=%B5%CB%CF%C8%B6%F0&amp;medium=01&amp;category_path=01.00.00.00.00.00" \t "http://product.dangdang.com/_blank" </w:instrText>
      </w:r>
      <w:r>
        <w:rPr>
          <w:rFonts w:hint="eastAsia" w:cs="宋体"/>
          <w:sz w:val="21"/>
          <w:szCs w:val="21"/>
          <w:lang w:val="en-US" w:eastAsia="zh-CN"/>
        </w:rPr>
        <w:fldChar w:fldCharType="separate"/>
      </w:r>
      <w:r>
        <w:rPr>
          <w:rFonts w:hint="default" w:cs="宋体"/>
          <w:sz w:val="21"/>
          <w:szCs w:val="21"/>
          <w:lang w:val="en-US" w:eastAsia="zh-CN"/>
        </w:rPr>
        <w:t>邓先娥</w:t>
      </w:r>
      <w:r>
        <w:rPr>
          <w:rFonts w:hint="default" w:cs="宋体"/>
          <w:sz w:val="21"/>
          <w:szCs w:val="21"/>
          <w:lang w:val="en-US" w:eastAsia="zh-CN"/>
        </w:rPr>
        <w:fldChar w:fldCharType="end"/>
      </w:r>
      <w:r>
        <w:rPr>
          <w:rFonts w:hint="eastAsia" w:cs="宋体"/>
          <w:sz w:val="21"/>
          <w:szCs w:val="21"/>
          <w:lang w:val="en-US" w:eastAsia="zh-CN"/>
        </w:rPr>
        <w:t>，</w:t>
      </w:r>
      <w:r>
        <w:rPr>
          <w:rFonts w:hint="default" w:cs="宋体"/>
          <w:sz w:val="21"/>
          <w:szCs w:val="21"/>
          <w:lang w:val="en-US" w:eastAsia="zh-CN"/>
        </w:rPr>
        <w:fldChar w:fldCharType="begin"/>
      </w:r>
      <w:r>
        <w:rPr>
          <w:rFonts w:hint="default" w:cs="宋体"/>
          <w:sz w:val="21"/>
          <w:szCs w:val="21"/>
          <w:lang w:val="en-US" w:eastAsia="zh-CN"/>
        </w:rPr>
        <w:instrText xml:space="preserve"> HYPERLINK "http://search.dangdang.com/?key2=%B9%F9%ED%B5%D2%C1&amp;medium=01&amp;category_path=01.00.00.00.00.00" \t "http://product.dangdang.com/_blank" </w:instrText>
      </w:r>
      <w:r>
        <w:rPr>
          <w:rFonts w:hint="default" w:cs="宋体"/>
          <w:sz w:val="21"/>
          <w:szCs w:val="21"/>
          <w:lang w:val="en-US" w:eastAsia="zh-CN"/>
        </w:rPr>
        <w:fldChar w:fldCharType="separate"/>
      </w:r>
      <w:r>
        <w:rPr>
          <w:rFonts w:hint="default" w:cs="宋体"/>
          <w:sz w:val="21"/>
          <w:szCs w:val="21"/>
          <w:lang w:val="en-US" w:eastAsia="zh-CN"/>
        </w:rPr>
        <w:t>郭淼伊</w:t>
      </w:r>
      <w:r>
        <w:rPr>
          <w:rFonts w:hint="default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.</w:t>
      </w:r>
      <w:r>
        <w:rPr>
          <w:rFonts w:hint="eastAsia" w:cs="宋体"/>
          <w:bCs/>
          <w:sz w:val="21"/>
          <w:szCs w:val="21"/>
          <w:lang w:val="en-US" w:eastAsia="zh-CN"/>
        </w:rPr>
        <w:t>经济学基础教程</w:t>
      </w:r>
      <w:r>
        <w:rPr>
          <w:rFonts w:hint="eastAsia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（第2版）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</w:t>
      </w:r>
      <w:r>
        <w:rPr>
          <w:rFonts w:hint="eastAsia" w:cs="宋体"/>
          <w:bCs/>
          <w:sz w:val="21"/>
          <w:szCs w:val="21"/>
          <w:lang w:val="en-US" w:eastAsia="zh-CN"/>
        </w:rPr>
        <w:t>北京:人民邮电出版社，2020年4月</w:t>
      </w:r>
    </w:p>
    <w:p>
      <w:pPr>
        <w:spacing w:line="360" w:lineRule="auto"/>
        <w:ind w:firstLine="420" w:firstLineChars="200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[5]</w:t>
      </w:r>
      <w:r>
        <w:rPr>
          <w:rFonts w:hint="eastAsia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王琦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.</w:t>
      </w:r>
      <w:r>
        <w:rPr>
          <w:rFonts w:hint="eastAsia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经济学基础（第2版）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.</w:t>
      </w:r>
      <w:r>
        <w:rPr>
          <w:rFonts w:hint="eastAsia" w:cs="宋体"/>
          <w:bCs/>
          <w:sz w:val="21"/>
          <w:szCs w:val="21"/>
          <w:lang w:val="en-US" w:eastAsia="zh-CN"/>
        </w:rPr>
        <w:t>北京:北京理工大学出版社，2014年7月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cs="Times New Roman" w:asciiTheme="minorEastAsia" w:hAnsiTheme="minorEastAsia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生活中的经济学(陶一桃 主讲）.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优课联盟网站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，www.uooc.net.cn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cs="Times New Roman" w:asciiTheme="minorEastAsia" w:hAnsiTheme="minorEastAsia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趣味经济学——微观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篇(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李艳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 xml:space="preserve"> 主讲）.粤港澳大湾区高校在线开放联盟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网站，www.gdhkmooc.com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]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生活中的经济学（陈赞宇 主讲）.智慧树网站，https://www.zhihuishu.com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其他资料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20" w:firstLineChars="200"/>
        <w:rPr>
          <w:rFonts w:hint="default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[1]</w:t>
      </w:r>
      <w:r>
        <w:rPr>
          <w:rFonts w:hint="default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陶一桃</w:t>
      </w:r>
      <w:r>
        <w:rPr>
          <w:rFonts w:hint="eastAsia" w:cs="宋体"/>
          <w:b w:val="0"/>
          <w:bCs/>
          <w:kern w:val="0"/>
          <w:sz w:val="21"/>
          <w:szCs w:val="21"/>
          <w:lang w:val="en-US" w:eastAsia="zh-CN" w:bidi="ar-SA"/>
        </w:rPr>
        <w:t>，</w:t>
      </w:r>
      <w:r>
        <w:rPr>
          <w:rFonts w:hint="default" w:ascii="宋体" w:hAnsi="宋体" w:eastAsia="宋体" w:cs="宋体"/>
          <w:b w:val="0"/>
          <w:bCs/>
          <w:kern w:val="0"/>
          <w:sz w:val="21"/>
          <w:szCs w:val="21"/>
          <w:lang w:val="en-US" w:eastAsia="zh-CN" w:bidi="ar-SA"/>
        </w:rPr>
        <w:t>王保卫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cs="宋体"/>
          <w:b w:val="0"/>
          <w:bCs/>
          <w:sz w:val="21"/>
          <w:szCs w:val="21"/>
          <w:lang w:val="en-US" w:eastAsia="zh-CN"/>
        </w:rPr>
        <w:t>生活中的经济学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cs="宋体"/>
          <w:b w:val="0"/>
          <w:bCs/>
          <w:sz w:val="21"/>
          <w:szCs w:val="21"/>
          <w:lang w:val="en-US" w:eastAsia="zh-CN"/>
        </w:rPr>
        <w:t>上海:学林出版社，2018年7月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hint="eastAsia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[美]罗伯特·弗兰克.牛奶</w:t>
      </w:r>
      <w:r>
        <w:rPr>
          <w:rFonts w:hint="eastAsia" w:cs="宋体"/>
          <w:sz w:val="21"/>
          <w:szCs w:val="21"/>
          <w:lang w:val="en-US" w:eastAsia="zh-CN"/>
        </w:rPr>
        <w:t>可乐经济学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:中国人民大学出版社，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2010年12月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大纲执笔人： 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张超</w:t>
      </w: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讨论参与人: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杨亚娟 何勇亭</w:t>
      </w: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谭芬</w:t>
      </w:r>
    </w:p>
    <w:p>
      <w:pPr>
        <w:spacing w:line="360" w:lineRule="auto"/>
        <w:ind w:firstLine="5775" w:firstLineChars="2750"/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赖忠孝</w:t>
      </w: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E972C0"/>
    <w:multiLevelType w:val="singleLevel"/>
    <w:tmpl w:val="F1E972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C33527"/>
    <w:multiLevelType w:val="singleLevel"/>
    <w:tmpl w:val="05C335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93650"/>
    <w:rsid w:val="01286746"/>
    <w:rsid w:val="024E68F9"/>
    <w:rsid w:val="0298613A"/>
    <w:rsid w:val="04030F36"/>
    <w:rsid w:val="041576B4"/>
    <w:rsid w:val="0483623B"/>
    <w:rsid w:val="04B53F4B"/>
    <w:rsid w:val="04BB3B3F"/>
    <w:rsid w:val="06143C1A"/>
    <w:rsid w:val="06C61914"/>
    <w:rsid w:val="06C91218"/>
    <w:rsid w:val="0817175B"/>
    <w:rsid w:val="09D20F23"/>
    <w:rsid w:val="0B5B291B"/>
    <w:rsid w:val="0C0636F3"/>
    <w:rsid w:val="0D426078"/>
    <w:rsid w:val="0D9C051F"/>
    <w:rsid w:val="0DD11D2A"/>
    <w:rsid w:val="0E213113"/>
    <w:rsid w:val="0EAB1FD9"/>
    <w:rsid w:val="0ED2440E"/>
    <w:rsid w:val="11E93F48"/>
    <w:rsid w:val="12373F9F"/>
    <w:rsid w:val="128A39CB"/>
    <w:rsid w:val="129C18A7"/>
    <w:rsid w:val="12A12A75"/>
    <w:rsid w:val="13AB3BAB"/>
    <w:rsid w:val="13AE3591"/>
    <w:rsid w:val="13C93E57"/>
    <w:rsid w:val="17662374"/>
    <w:rsid w:val="191A05AB"/>
    <w:rsid w:val="19D961C7"/>
    <w:rsid w:val="1AB71087"/>
    <w:rsid w:val="1AE26524"/>
    <w:rsid w:val="1BAF0224"/>
    <w:rsid w:val="1BB24AE4"/>
    <w:rsid w:val="1E0563C6"/>
    <w:rsid w:val="1E56423E"/>
    <w:rsid w:val="1EDB265E"/>
    <w:rsid w:val="20374BC7"/>
    <w:rsid w:val="205115FB"/>
    <w:rsid w:val="21AE49FD"/>
    <w:rsid w:val="23B845E5"/>
    <w:rsid w:val="23FF52C4"/>
    <w:rsid w:val="261A3A5C"/>
    <w:rsid w:val="27133AE9"/>
    <w:rsid w:val="27A10B8D"/>
    <w:rsid w:val="28A3452F"/>
    <w:rsid w:val="29E2232B"/>
    <w:rsid w:val="2B3B58B3"/>
    <w:rsid w:val="2BED1A04"/>
    <w:rsid w:val="2EB27358"/>
    <w:rsid w:val="2EBC1910"/>
    <w:rsid w:val="2F452432"/>
    <w:rsid w:val="2F4D3EB9"/>
    <w:rsid w:val="2F7610B9"/>
    <w:rsid w:val="30DA5698"/>
    <w:rsid w:val="310D3E47"/>
    <w:rsid w:val="315C2013"/>
    <w:rsid w:val="31CB5BAA"/>
    <w:rsid w:val="328561A0"/>
    <w:rsid w:val="330A30BF"/>
    <w:rsid w:val="331B0FBB"/>
    <w:rsid w:val="33FC76B3"/>
    <w:rsid w:val="340C3D9A"/>
    <w:rsid w:val="343A01EC"/>
    <w:rsid w:val="351A4B0B"/>
    <w:rsid w:val="35A82CE7"/>
    <w:rsid w:val="374B141A"/>
    <w:rsid w:val="3BA252EB"/>
    <w:rsid w:val="3CCA1599"/>
    <w:rsid w:val="3CFF1D5C"/>
    <w:rsid w:val="3D2008B6"/>
    <w:rsid w:val="3E2241BA"/>
    <w:rsid w:val="3E7541D8"/>
    <w:rsid w:val="3F731171"/>
    <w:rsid w:val="3F8E5FAB"/>
    <w:rsid w:val="3FDF6807"/>
    <w:rsid w:val="40FA369A"/>
    <w:rsid w:val="41B45A71"/>
    <w:rsid w:val="438C0D9B"/>
    <w:rsid w:val="43945454"/>
    <w:rsid w:val="43B73013"/>
    <w:rsid w:val="446A415D"/>
    <w:rsid w:val="48DB1B35"/>
    <w:rsid w:val="4968786D"/>
    <w:rsid w:val="49913188"/>
    <w:rsid w:val="4A1B668D"/>
    <w:rsid w:val="4B1E4DC7"/>
    <w:rsid w:val="4B2E63E2"/>
    <w:rsid w:val="4C1D3AC7"/>
    <w:rsid w:val="4F0D435C"/>
    <w:rsid w:val="4F566E07"/>
    <w:rsid w:val="4FA3397D"/>
    <w:rsid w:val="4FDC2799"/>
    <w:rsid w:val="50C20E1A"/>
    <w:rsid w:val="51573990"/>
    <w:rsid w:val="515B1A65"/>
    <w:rsid w:val="5187657C"/>
    <w:rsid w:val="518D04A3"/>
    <w:rsid w:val="51A56873"/>
    <w:rsid w:val="51E0781B"/>
    <w:rsid w:val="53053B16"/>
    <w:rsid w:val="535E001D"/>
    <w:rsid w:val="535E26F2"/>
    <w:rsid w:val="53BD7D7D"/>
    <w:rsid w:val="54351349"/>
    <w:rsid w:val="543D554F"/>
    <w:rsid w:val="54443D43"/>
    <w:rsid w:val="54CD2C7A"/>
    <w:rsid w:val="566201DA"/>
    <w:rsid w:val="57FD0860"/>
    <w:rsid w:val="58301337"/>
    <w:rsid w:val="58872B27"/>
    <w:rsid w:val="58A02613"/>
    <w:rsid w:val="5C9F517B"/>
    <w:rsid w:val="5CA053EE"/>
    <w:rsid w:val="5CB9385E"/>
    <w:rsid w:val="5D1A41FD"/>
    <w:rsid w:val="5D6A20B3"/>
    <w:rsid w:val="5DBA7C86"/>
    <w:rsid w:val="5DD16E7C"/>
    <w:rsid w:val="5EAA1324"/>
    <w:rsid w:val="5FB62DB3"/>
    <w:rsid w:val="60A7390F"/>
    <w:rsid w:val="60B7546F"/>
    <w:rsid w:val="61DA44E0"/>
    <w:rsid w:val="648514DD"/>
    <w:rsid w:val="658E12BF"/>
    <w:rsid w:val="659A6FF7"/>
    <w:rsid w:val="6621691E"/>
    <w:rsid w:val="67374D79"/>
    <w:rsid w:val="67D23451"/>
    <w:rsid w:val="698E432E"/>
    <w:rsid w:val="6A2330F2"/>
    <w:rsid w:val="6BC444BC"/>
    <w:rsid w:val="6C982046"/>
    <w:rsid w:val="6CB221D8"/>
    <w:rsid w:val="6E6A387E"/>
    <w:rsid w:val="6EF62DA0"/>
    <w:rsid w:val="6F141040"/>
    <w:rsid w:val="702E205A"/>
    <w:rsid w:val="714E71E3"/>
    <w:rsid w:val="73893650"/>
    <w:rsid w:val="74365CEE"/>
    <w:rsid w:val="747B2806"/>
    <w:rsid w:val="751361FD"/>
    <w:rsid w:val="764F1D31"/>
    <w:rsid w:val="765C0B0C"/>
    <w:rsid w:val="76756EB5"/>
    <w:rsid w:val="76E54179"/>
    <w:rsid w:val="7717695B"/>
    <w:rsid w:val="7C2154D6"/>
    <w:rsid w:val="7D525F02"/>
    <w:rsid w:val="7E127842"/>
    <w:rsid w:val="7E922B25"/>
    <w:rsid w:val="7F2E2AF8"/>
    <w:rsid w:val="7FB3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</w:style>
  <w:style w:type="paragraph" w:styleId="4">
    <w:name w:val="Body Text Indent 3"/>
    <w:basedOn w:val="1"/>
    <w:qFormat/>
    <w:uiPriority w:val="0"/>
    <w:pPr>
      <w:tabs>
        <w:tab w:val="decimal" w:pos="540"/>
        <w:tab w:val="decimal" w:pos="1080"/>
        <w:tab w:val="decimal" w:pos="5220"/>
      </w:tabs>
      <w:ind w:firstLine="570"/>
    </w:pPr>
    <w:rPr>
      <w:rFonts w:ascii="宋体"/>
      <w:sz w:val="24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论文规范一级标题"/>
    <w:basedOn w:val="6"/>
    <w:qFormat/>
    <w:uiPriority w:val="0"/>
    <w:pPr>
      <w:autoSpaceDE/>
      <w:autoSpaceDN/>
      <w:spacing w:before="0" w:after="0"/>
    </w:pPr>
    <w:rPr>
      <w:rFonts w:ascii="Cambria" w:hAnsi="Cambria" w:eastAsiaTheme="minorEastAsia" w:cstheme="minorBidi"/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2021-11-05T09:34:00Z</dcterms:created>
  <dc:creator>carol</dc:creator>
  <cp:lastModifiedBy>妞</cp:lastModifiedBy>
  <dcterms:modified xsi:type="dcterms:W3CDTF">2022-02-24T14:12:37Z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C9F1B61BDF034787B69BFC17A740CB39</vt:lpwstr>
  </property>
</Properties>
</file>