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D195" w14:textId="6702BE96" w:rsidR="00250E63" w:rsidRDefault="00324BF8">
      <w:pPr>
        <w:pStyle w:val="a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《</w:t>
      </w:r>
      <w:r w:rsidR="0042393F">
        <w:rPr>
          <w:rFonts w:asciiTheme="minorEastAsia" w:eastAsiaTheme="minorEastAsia" w:hAnsiTheme="minorEastAsia" w:hint="eastAsia"/>
          <w:b/>
          <w:sz w:val="32"/>
          <w:szCs w:val="32"/>
        </w:rPr>
        <w:t>商务谈判策略（通选）</w:t>
      </w:r>
      <w:r>
        <w:rPr>
          <w:rFonts w:asciiTheme="minorEastAsia" w:eastAsiaTheme="minorEastAsia" w:hAnsiTheme="minorEastAsia"/>
          <w:b/>
          <w:sz w:val="32"/>
          <w:szCs w:val="32"/>
        </w:rPr>
        <w:t>》教学大纲</w:t>
      </w:r>
    </w:p>
    <w:p w14:paraId="6F566425" w14:textId="77777777" w:rsidR="00F93796" w:rsidRDefault="00F93796">
      <w:pPr>
        <w:pStyle w:val="a3"/>
        <w:jc w:val="center"/>
        <w:rPr>
          <w:rFonts w:hint="eastAsia"/>
        </w:rPr>
      </w:pPr>
    </w:p>
    <w:p w14:paraId="5BF72CF3" w14:textId="77777777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34844EBA" w14:textId="77777777" w:rsidR="00250E63" w:rsidRDefault="00324BF8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一、课程基本信息</w:t>
      </w:r>
    </w:p>
    <w:tbl>
      <w:tblPr>
        <w:tblStyle w:val="af1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250E63" w14:paraId="5F103DCD" w14:textId="77777777">
        <w:trPr>
          <w:trHeight w:val="354"/>
        </w:trPr>
        <w:tc>
          <w:tcPr>
            <w:tcW w:w="1529" w:type="dxa"/>
            <w:vAlign w:val="center"/>
          </w:tcPr>
          <w:p w14:paraId="52CD175A" w14:textId="77777777" w:rsidR="00250E63" w:rsidRDefault="00324BF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105B31C" w14:textId="4F10D76B" w:rsidR="00250E63" w:rsidRDefault="003D633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通识</w:t>
            </w:r>
            <w:r w:rsidR="00324BF8">
              <w:rPr>
                <w:rFonts w:cs="Times New Roman" w:hint="eastAsia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72B503B9" w14:textId="77777777" w:rsidR="00250E63" w:rsidRDefault="00324BF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55CC625" w14:textId="77777777" w:rsidR="00250E63" w:rsidRDefault="00324BF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732A4FAE" w14:textId="77777777" w:rsidR="00250E63" w:rsidRDefault="00324BF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93FC909" w14:textId="2C146A8C" w:rsidR="00250E63" w:rsidRDefault="003D633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选</w:t>
            </w:r>
            <w:r w:rsidR="00324BF8">
              <w:rPr>
                <w:rFonts w:cs="Times New Roman" w:hint="eastAsia"/>
                <w:sz w:val="21"/>
                <w:szCs w:val="21"/>
              </w:rPr>
              <w:t>修</w:t>
            </w:r>
          </w:p>
        </w:tc>
      </w:tr>
      <w:tr w:rsidR="00250E63" w14:paraId="05F853D2" w14:textId="77777777">
        <w:trPr>
          <w:trHeight w:val="371"/>
        </w:trPr>
        <w:tc>
          <w:tcPr>
            <w:tcW w:w="1529" w:type="dxa"/>
            <w:vAlign w:val="center"/>
          </w:tcPr>
          <w:p w14:paraId="0D1FD205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8C8B68D" w14:textId="369BD202" w:rsidR="00250E63" w:rsidRDefault="0042393F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商务谈判策略（通选）</w:t>
            </w:r>
          </w:p>
        </w:tc>
        <w:tc>
          <w:tcPr>
            <w:tcW w:w="1559" w:type="dxa"/>
            <w:vAlign w:val="center"/>
          </w:tcPr>
          <w:p w14:paraId="6710038E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C655199" w14:textId="37A26BB8" w:rsidR="00250E63" w:rsidRPr="00E76F7E" w:rsidRDefault="00357431">
            <w:pPr>
              <w:jc w:val="center"/>
              <w:rPr>
                <w:rFonts w:cs="PMingLiU"/>
                <w:sz w:val="21"/>
                <w:szCs w:val="21"/>
                <w:highlight w:val="yellow"/>
              </w:rPr>
            </w:pPr>
            <w:r w:rsidRPr="00357431">
              <w:rPr>
                <w:rFonts w:cs="PMingLiU"/>
                <w:sz w:val="21"/>
                <w:szCs w:val="21"/>
              </w:rPr>
              <w:t>B</w:t>
            </w:r>
            <w:r w:rsidRPr="00357431">
              <w:rPr>
                <w:rFonts w:cs="PMingLiU" w:hint="eastAsia"/>
                <w:sz w:val="21"/>
                <w:szCs w:val="21"/>
              </w:rPr>
              <w:t>usiness</w:t>
            </w:r>
            <w:r w:rsidRPr="00357431">
              <w:rPr>
                <w:rFonts w:cs="PMingLiU"/>
                <w:sz w:val="21"/>
                <w:szCs w:val="21"/>
              </w:rPr>
              <w:t xml:space="preserve"> Negotiation Strategy</w:t>
            </w:r>
            <w:r w:rsidR="006440E6" w:rsidRPr="00357431">
              <w:rPr>
                <w:rFonts w:cs="PMingLiU"/>
                <w:sz w:val="21"/>
                <w:szCs w:val="21"/>
              </w:rPr>
              <w:t xml:space="preserve"> (</w:t>
            </w:r>
            <w:r w:rsidR="00A05818" w:rsidRPr="00357431">
              <w:rPr>
                <w:rFonts w:cs="PMingLiU"/>
                <w:sz w:val="21"/>
                <w:szCs w:val="21"/>
              </w:rPr>
              <w:t>General courses</w:t>
            </w:r>
            <w:r w:rsidR="006440E6" w:rsidRPr="00357431">
              <w:rPr>
                <w:rFonts w:cs="PMingLiU"/>
                <w:sz w:val="21"/>
                <w:szCs w:val="21"/>
              </w:rPr>
              <w:t>)</w:t>
            </w:r>
          </w:p>
        </w:tc>
      </w:tr>
      <w:tr w:rsidR="00250E63" w14:paraId="44AFDD65" w14:textId="77777777">
        <w:trPr>
          <w:trHeight w:val="371"/>
        </w:trPr>
        <w:tc>
          <w:tcPr>
            <w:tcW w:w="1529" w:type="dxa"/>
            <w:vAlign w:val="center"/>
          </w:tcPr>
          <w:p w14:paraId="22B44EDF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A428199" w14:textId="51D91D0C" w:rsidR="00250E63" w:rsidRDefault="0042393F">
            <w:pPr>
              <w:jc w:val="center"/>
              <w:rPr>
                <w:rFonts w:cs="PMingLiU"/>
                <w:sz w:val="21"/>
                <w:szCs w:val="21"/>
              </w:rPr>
            </w:pPr>
            <w:r w:rsidRPr="0042393F">
              <w:rPr>
                <w:rFonts w:cs="PMingLiU"/>
                <w:sz w:val="21"/>
                <w:szCs w:val="21"/>
              </w:rPr>
              <w:t>FX03TX12C</w:t>
            </w:r>
          </w:p>
        </w:tc>
        <w:tc>
          <w:tcPr>
            <w:tcW w:w="1559" w:type="dxa"/>
            <w:vAlign w:val="center"/>
          </w:tcPr>
          <w:p w14:paraId="6472BA73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067AEF6" w14:textId="598A33F3" w:rsidR="00250E63" w:rsidRDefault="0042393F">
            <w:pPr>
              <w:jc w:val="center"/>
              <w:rPr>
                <w:rFonts w:cs="PMingLiU"/>
                <w:sz w:val="21"/>
                <w:szCs w:val="21"/>
              </w:rPr>
            </w:pPr>
            <w:r w:rsidRPr="0042393F">
              <w:rPr>
                <w:rFonts w:cs="PMingLiU" w:hint="eastAsia"/>
                <w:sz w:val="21"/>
                <w:szCs w:val="21"/>
              </w:rPr>
              <w:t>国际经济与贸易</w:t>
            </w:r>
            <w:r w:rsidRPr="0042393F">
              <w:rPr>
                <w:rFonts w:cs="PMingLiU"/>
                <w:sz w:val="21"/>
                <w:szCs w:val="21"/>
              </w:rPr>
              <w:t>,电子商务</w:t>
            </w:r>
          </w:p>
        </w:tc>
      </w:tr>
      <w:tr w:rsidR="00250E63" w14:paraId="292A55D0" w14:textId="77777777">
        <w:trPr>
          <w:trHeight w:val="90"/>
        </w:trPr>
        <w:tc>
          <w:tcPr>
            <w:tcW w:w="1529" w:type="dxa"/>
            <w:vAlign w:val="center"/>
          </w:tcPr>
          <w:p w14:paraId="29CD5737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4597A58F" w14:textId="3E2C1747" w:rsidR="00250E63" w:rsidRDefault="00324BF8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考</w:t>
            </w:r>
            <w:r w:rsidR="003D6331">
              <w:rPr>
                <w:rFonts w:cs="PMingLiU" w:hint="eastAsia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65B72AD9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3EF3C71C" w14:textId="3DBBD37E" w:rsidR="00250E63" w:rsidRDefault="003D6331">
            <w:pPr>
              <w:spacing w:line="280" w:lineRule="exact"/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无</w:t>
            </w:r>
          </w:p>
        </w:tc>
      </w:tr>
      <w:tr w:rsidR="00250E63" w14:paraId="4B97D9F7" w14:textId="77777777">
        <w:trPr>
          <w:trHeight w:val="358"/>
        </w:trPr>
        <w:tc>
          <w:tcPr>
            <w:tcW w:w="1529" w:type="dxa"/>
            <w:vAlign w:val="center"/>
          </w:tcPr>
          <w:p w14:paraId="582AE1D4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002676FC" w14:textId="25805BF3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3</w:t>
            </w:r>
            <w:r>
              <w:rPr>
                <w:rFonts w:cs="PMingLiU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5EAF436A" w14:textId="77777777" w:rsidR="00250E63" w:rsidRDefault="00324BF8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04BA1740" w14:textId="632598AD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721A96AA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0112DC3E" w14:textId="127FFA7F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32</w:t>
            </w:r>
          </w:p>
        </w:tc>
      </w:tr>
      <w:tr w:rsidR="00250E63" w14:paraId="1CE18E6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B91AF5A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3F00CDBC" w14:textId="35EA55A5" w:rsidR="00250E63" w:rsidRDefault="003D6331">
            <w:pPr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0</w:t>
            </w:r>
          </w:p>
        </w:tc>
      </w:tr>
      <w:tr w:rsidR="00250E63" w14:paraId="2090F8A6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4219902" w14:textId="77777777" w:rsidR="00250E63" w:rsidRDefault="00324BF8">
            <w:pPr>
              <w:jc w:val="center"/>
              <w:rPr>
                <w:rFonts w:ascii="Times New Roman" w:hAnsi="Times New Roman"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PMingLiU" w:hint="eastAsia"/>
                <w:b/>
                <w:color w:val="000000" w:themeColor="text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7F7980C" w14:textId="77777777" w:rsidR="00250E63" w:rsidRDefault="00324BF8">
            <w:pPr>
              <w:jc w:val="center"/>
              <w:rPr>
                <w:rFonts w:ascii="Times New Roman" w:hAnsi="Times New Roman" w:cs="PMingLiU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PMingLiU" w:hint="eastAsia"/>
                <w:color w:val="000000" w:themeColor="text1"/>
                <w:szCs w:val="21"/>
              </w:rPr>
              <w:t>金融与贸易学院</w:t>
            </w:r>
          </w:p>
        </w:tc>
      </w:tr>
    </w:tbl>
    <w:p w14:paraId="749FCE8B" w14:textId="77777777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31C3AD52" w14:textId="77777777" w:rsidR="00250E63" w:rsidRDefault="00324BF8">
      <w:pPr>
        <w:ind w:firstLineChars="200" w:firstLine="56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Times New Roman" w:cs="Times New Roman" w:hint="eastAsia"/>
          <w:b/>
          <w:sz w:val="28"/>
          <w:szCs w:val="28"/>
        </w:rPr>
        <w:t>二、</w:t>
      </w:r>
      <w:r w:rsidRPr="00F93796">
        <w:rPr>
          <w:rFonts w:asciiTheme="minorEastAsia" w:eastAsiaTheme="minorEastAsia" w:hAnsiTheme="minorEastAsia" w:hint="eastAsia"/>
          <w:b/>
          <w:sz w:val="28"/>
          <w:szCs w:val="28"/>
        </w:rPr>
        <w:t>课程简介</w:t>
      </w:r>
    </w:p>
    <w:p w14:paraId="7B588711" w14:textId="1AD19137" w:rsidR="001338B7" w:rsidRDefault="00324BF8" w:rsidP="008D78ED">
      <w:pPr>
        <w:spacing w:before="240" w:line="360" w:lineRule="auto"/>
        <w:ind w:firstLineChars="200" w:firstLine="420"/>
        <w:rPr>
          <w:color w:val="000000"/>
          <w:sz w:val="21"/>
          <w:szCs w:val="21"/>
        </w:rPr>
      </w:pPr>
      <w:r w:rsidRPr="00291DD3">
        <w:rPr>
          <w:rFonts w:hint="eastAsia"/>
          <w:color w:val="000000"/>
          <w:sz w:val="21"/>
          <w:szCs w:val="21"/>
        </w:rPr>
        <w:t>《</w:t>
      </w:r>
      <w:r w:rsidR="0042393F" w:rsidRPr="00291DD3">
        <w:rPr>
          <w:rFonts w:hint="eastAsia"/>
          <w:color w:val="000000"/>
          <w:sz w:val="21"/>
          <w:szCs w:val="21"/>
        </w:rPr>
        <w:t>商务谈判策略（通选）</w:t>
      </w:r>
      <w:r w:rsidRPr="00291DD3">
        <w:rPr>
          <w:rFonts w:hint="eastAsia"/>
          <w:color w:val="000000"/>
          <w:sz w:val="21"/>
          <w:szCs w:val="21"/>
        </w:rPr>
        <w:t>》是</w:t>
      </w:r>
      <w:r w:rsidR="0091620D" w:rsidRPr="00291DD3">
        <w:rPr>
          <w:rFonts w:hint="eastAsia"/>
          <w:color w:val="000000"/>
          <w:sz w:val="21"/>
          <w:szCs w:val="21"/>
        </w:rPr>
        <w:t>金融与贸易学院为我校国贸</w:t>
      </w:r>
      <w:r w:rsidR="001338B7" w:rsidRPr="00291DD3">
        <w:rPr>
          <w:rFonts w:hint="eastAsia"/>
          <w:color w:val="000000"/>
          <w:sz w:val="21"/>
          <w:szCs w:val="21"/>
        </w:rPr>
        <w:t>和</w:t>
      </w:r>
      <w:r w:rsidR="0091620D" w:rsidRPr="00291DD3">
        <w:rPr>
          <w:rFonts w:hint="eastAsia"/>
          <w:color w:val="000000"/>
          <w:sz w:val="21"/>
          <w:szCs w:val="21"/>
        </w:rPr>
        <w:t>电商专业开设的一门通识教育选修课程</w:t>
      </w:r>
      <w:r w:rsidR="001338B7" w:rsidRPr="00291DD3">
        <w:rPr>
          <w:rFonts w:hint="eastAsia"/>
          <w:color w:val="000000"/>
          <w:sz w:val="21"/>
          <w:szCs w:val="21"/>
        </w:rPr>
        <w:t>，</w:t>
      </w:r>
      <w:r w:rsidR="001338B7" w:rsidRPr="001338B7">
        <w:rPr>
          <w:rFonts w:hint="eastAsia"/>
          <w:color w:val="000000"/>
          <w:sz w:val="21"/>
          <w:szCs w:val="21"/>
        </w:rPr>
        <w:t>是结合经济学、管理学、数理学、心理学、语言学等多学科基础上的综合性应用学科</w:t>
      </w:r>
      <w:r w:rsidR="001338B7">
        <w:rPr>
          <w:rFonts w:hint="eastAsia"/>
          <w:color w:val="000000"/>
          <w:sz w:val="21"/>
          <w:szCs w:val="21"/>
        </w:rPr>
        <w:t>。</w:t>
      </w:r>
      <w:r w:rsidRPr="00291DD3">
        <w:rPr>
          <w:rFonts w:hint="eastAsia"/>
          <w:color w:val="000000"/>
          <w:sz w:val="21"/>
          <w:szCs w:val="21"/>
        </w:rPr>
        <w:t>本课程主要讲述</w:t>
      </w:r>
      <w:r w:rsidR="00291DD3" w:rsidRPr="00291DD3">
        <w:rPr>
          <w:rFonts w:hint="eastAsia"/>
          <w:color w:val="000000"/>
          <w:sz w:val="21"/>
          <w:szCs w:val="21"/>
        </w:rPr>
        <w:t>谈判动机、</w:t>
      </w:r>
      <w:r w:rsidR="00291DD3" w:rsidRPr="00291DD3">
        <w:rPr>
          <w:color w:val="000000"/>
          <w:sz w:val="21"/>
          <w:szCs w:val="21"/>
        </w:rPr>
        <w:t xml:space="preserve"> 谈判结构、 双赢理念、 合作原则谈判法、 利益分配法则、 谈判力、 信任法则、 博弈论在谈判中的应用、 谈判者个性与谈判模式、 文化模式与谈判模式</w:t>
      </w:r>
      <w:r w:rsidR="00291DD3" w:rsidRPr="00291DD3">
        <w:rPr>
          <w:rFonts w:hint="eastAsia"/>
          <w:color w:val="000000"/>
          <w:sz w:val="21"/>
          <w:szCs w:val="21"/>
        </w:rPr>
        <w:t>和谈判风险管理</w:t>
      </w:r>
      <w:r w:rsidRPr="00291DD3">
        <w:rPr>
          <w:rFonts w:hint="eastAsia"/>
          <w:color w:val="000000"/>
          <w:sz w:val="21"/>
          <w:szCs w:val="21"/>
        </w:rPr>
        <w:t>。通过本课程</w:t>
      </w:r>
      <w:proofErr w:type="gramStart"/>
      <w:r w:rsidRPr="00291DD3">
        <w:rPr>
          <w:rFonts w:hint="eastAsia"/>
          <w:color w:val="000000"/>
          <w:sz w:val="21"/>
          <w:szCs w:val="21"/>
        </w:rPr>
        <w:t>教学</w:t>
      </w:r>
      <w:r w:rsidR="001338B7" w:rsidRPr="001338B7">
        <w:rPr>
          <w:rFonts w:hint="eastAsia"/>
          <w:color w:val="000000"/>
          <w:sz w:val="21"/>
          <w:szCs w:val="21"/>
        </w:rPr>
        <w:t>让</w:t>
      </w:r>
      <w:proofErr w:type="gramEnd"/>
      <w:r w:rsidR="001338B7" w:rsidRPr="001338B7">
        <w:rPr>
          <w:rFonts w:hint="eastAsia"/>
          <w:color w:val="000000"/>
          <w:sz w:val="21"/>
          <w:szCs w:val="21"/>
        </w:rPr>
        <w:t>学生能全面了解国际商务环境的特性，并熟练掌握谈判学的重要知识点、基础理论和基本技能，并在教学过程中适当加入一些谈判案例和新观念，培养学生</w:t>
      </w:r>
      <w:r w:rsidR="006A2BD9">
        <w:rPr>
          <w:rFonts w:hint="eastAsia"/>
          <w:color w:val="000000"/>
          <w:sz w:val="21"/>
          <w:szCs w:val="21"/>
        </w:rPr>
        <w:t>在商务谈判中的思辨能力</w:t>
      </w:r>
      <w:r w:rsidR="001338B7" w:rsidRPr="001338B7">
        <w:rPr>
          <w:rFonts w:hint="eastAsia"/>
          <w:color w:val="000000"/>
          <w:sz w:val="21"/>
          <w:szCs w:val="21"/>
        </w:rPr>
        <w:t>，</w:t>
      </w:r>
      <w:r w:rsidR="006A2BD9">
        <w:rPr>
          <w:rFonts w:hint="eastAsia"/>
          <w:color w:val="000000"/>
          <w:sz w:val="21"/>
          <w:szCs w:val="21"/>
        </w:rPr>
        <w:t>并运用相关策略解决商务谈判中遇到的问题</w:t>
      </w:r>
      <w:r w:rsidR="001338B7" w:rsidRPr="001338B7">
        <w:rPr>
          <w:rFonts w:hint="eastAsia"/>
          <w:color w:val="000000"/>
          <w:sz w:val="21"/>
          <w:szCs w:val="21"/>
        </w:rPr>
        <w:t>。</w:t>
      </w:r>
    </w:p>
    <w:p w14:paraId="74BCA38C" w14:textId="77777777" w:rsidR="00F93796" w:rsidRPr="001338B7" w:rsidRDefault="00F93796" w:rsidP="008D78ED">
      <w:pPr>
        <w:spacing w:before="240" w:line="360" w:lineRule="auto"/>
        <w:ind w:firstLineChars="200" w:firstLine="643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14:paraId="4BAEF455" w14:textId="77777777" w:rsidR="00250E63" w:rsidRDefault="00324BF8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1985"/>
      </w:tblGrid>
      <w:tr w:rsidR="00250E63" w14:paraId="3A41EEF2" w14:textId="77777777">
        <w:trPr>
          <w:trHeight w:val="413"/>
        </w:trPr>
        <w:tc>
          <w:tcPr>
            <w:tcW w:w="4077" w:type="dxa"/>
            <w:gridSpan w:val="2"/>
            <w:vAlign w:val="center"/>
          </w:tcPr>
          <w:p w14:paraId="11E033FA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835" w:type="dxa"/>
            <w:vAlign w:val="center"/>
          </w:tcPr>
          <w:p w14:paraId="6136C227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14:paraId="0CC34530" w14:textId="77777777" w:rsidR="00250E63" w:rsidRDefault="00324BF8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40733E" w14:paraId="5CE2586C" w14:textId="77777777">
        <w:trPr>
          <w:trHeight w:val="849"/>
        </w:trPr>
        <w:tc>
          <w:tcPr>
            <w:tcW w:w="534" w:type="dxa"/>
            <w:vAlign w:val="center"/>
          </w:tcPr>
          <w:p w14:paraId="0E788FB6" w14:textId="77777777" w:rsidR="0040733E" w:rsidRDefault="0040733E" w:rsidP="0040733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</w:p>
          <w:p w14:paraId="422DEBC5" w14:textId="77777777" w:rsidR="0040733E" w:rsidRDefault="0040733E" w:rsidP="0040733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76BAB64F" w14:textId="77777777" w:rsidR="0040733E" w:rsidRDefault="0040733E" w:rsidP="0040733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73F0FB6B" w14:textId="77777777" w:rsidR="0040733E" w:rsidRDefault="0040733E" w:rsidP="0040733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414F5748" w14:textId="77777777" w:rsidR="001A6D5F" w:rsidRDefault="001A6D5F" w:rsidP="0040733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  <w:p w14:paraId="7EEA287C" w14:textId="7F497D0D" w:rsidR="0040733E" w:rsidRDefault="0040733E" w:rsidP="0040733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8201D8C" w14:textId="4148BE96" w:rsidR="001A6D5F" w:rsidRDefault="00766B88" w:rsidP="0040733E">
            <w:pPr>
              <w:rPr>
                <w:sz w:val="21"/>
                <w:szCs w:val="21"/>
              </w:rPr>
            </w:pPr>
            <w:r w:rsidRPr="00766B88">
              <w:rPr>
                <w:rFonts w:hint="eastAsia"/>
                <w:sz w:val="21"/>
                <w:szCs w:val="21"/>
              </w:rPr>
              <w:t>通过课堂讲授，让学生能全面了解国际商务环境的特性，并熟练掌握谈判学的重要知识点、基础理论和基本技能</w:t>
            </w:r>
            <w:r w:rsidR="001A6D5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835" w:type="dxa"/>
            <w:vAlign w:val="center"/>
          </w:tcPr>
          <w:p w14:paraId="031A717C" w14:textId="23AE0DB3" w:rsidR="0040733E" w:rsidRPr="0040733E" w:rsidRDefault="0040733E" w:rsidP="0040733E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40733E">
              <w:rPr>
                <w:sz w:val="21"/>
                <w:szCs w:val="21"/>
              </w:rPr>
              <w:t>5-3熟悉国际商务活动的业务内容，业务流程以及商务沟通的中英文</w:t>
            </w:r>
            <w:r>
              <w:rPr>
                <w:rFonts w:hint="eastAsia"/>
                <w:sz w:val="21"/>
                <w:szCs w:val="21"/>
              </w:rPr>
              <w:t>写作</w:t>
            </w:r>
            <w:r w:rsidRPr="0040733E">
              <w:rPr>
                <w:sz w:val="21"/>
                <w:szCs w:val="21"/>
              </w:rPr>
              <w:t>规范。</w:t>
            </w:r>
          </w:p>
        </w:tc>
        <w:tc>
          <w:tcPr>
            <w:tcW w:w="1985" w:type="dxa"/>
            <w:vAlign w:val="center"/>
          </w:tcPr>
          <w:p w14:paraId="28804BA2" w14:textId="5C4F8C48" w:rsidR="0040733E" w:rsidRDefault="0040733E" w:rsidP="0040733E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F0710E">
              <w:rPr>
                <w:rFonts w:hint="eastAsia"/>
                <w:sz w:val="21"/>
                <w:szCs w:val="21"/>
              </w:rPr>
              <w:t>专业知识</w:t>
            </w:r>
          </w:p>
        </w:tc>
      </w:tr>
      <w:tr w:rsidR="00250E63" w14:paraId="1AAF76DF" w14:textId="77777777">
        <w:trPr>
          <w:trHeight w:val="739"/>
        </w:trPr>
        <w:tc>
          <w:tcPr>
            <w:tcW w:w="534" w:type="dxa"/>
            <w:vAlign w:val="center"/>
          </w:tcPr>
          <w:p w14:paraId="72671E84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能</w:t>
            </w:r>
          </w:p>
          <w:p w14:paraId="790AB4BF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  <w:p w14:paraId="2AC4FAE6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61DA189A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03F8EA84" w14:textId="77777777" w:rsidR="001A6D5F" w:rsidRDefault="001A6D5F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  <w:p w14:paraId="06EEBDFD" w14:textId="688651B1" w:rsidR="00250E63" w:rsidRDefault="00324BF8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0FFB57EC" w14:textId="1EC44BCC" w:rsidR="00766B88" w:rsidRDefault="00D616C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D616C7">
              <w:rPr>
                <w:rFonts w:hint="eastAsia"/>
                <w:sz w:val="21"/>
                <w:szCs w:val="21"/>
              </w:rPr>
              <w:t>课程将理论与实践相结合，在理论知识讲解过程中引入实际谈判案例加以分析。学生能对有关谈判案例进行分析研究，并积极参与各类模拟谈判活动。</w:t>
            </w:r>
          </w:p>
        </w:tc>
        <w:tc>
          <w:tcPr>
            <w:tcW w:w="2835" w:type="dxa"/>
            <w:vAlign w:val="center"/>
          </w:tcPr>
          <w:p w14:paraId="3A1F5D48" w14:textId="77777777" w:rsidR="0040733E" w:rsidRPr="0040733E" w:rsidRDefault="0040733E" w:rsidP="0040733E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40733E">
              <w:rPr>
                <w:sz w:val="21"/>
                <w:szCs w:val="21"/>
              </w:rPr>
              <w:t>10-2 熟悉欧美国家、“一带一路”国家的文化、习俗和商务礼仪；</w:t>
            </w:r>
          </w:p>
          <w:p w14:paraId="244FB206" w14:textId="604A60DB" w:rsidR="00250E63" w:rsidRDefault="0040733E" w:rsidP="0040733E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40733E">
              <w:rPr>
                <w:sz w:val="21"/>
                <w:szCs w:val="21"/>
              </w:rPr>
              <w:t>10-3掌握跨文化交际的要点，能够准确、流利地表达中国思想和中国文化。</w:t>
            </w:r>
          </w:p>
        </w:tc>
        <w:tc>
          <w:tcPr>
            <w:tcW w:w="1985" w:type="dxa"/>
            <w:vAlign w:val="center"/>
          </w:tcPr>
          <w:p w14:paraId="206D42FC" w14:textId="10AAD3BC" w:rsidR="00250E63" w:rsidRDefault="0040733E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F0710E">
              <w:rPr>
                <w:rFonts w:hint="eastAsia"/>
                <w:sz w:val="21"/>
                <w:szCs w:val="21"/>
              </w:rPr>
              <w:t>跨文化交流的能力</w:t>
            </w:r>
          </w:p>
        </w:tc>
      </w:tr>
      <w:tr w:rsidR="00587FBD" w14:paraId="35E951AE" w14:textId="77777777">
        <w:trPr>
          <w:trHeight w:val="546"/>
        </w:trPr>
        <w:tc>
          <w:tcPr>
            <w:tcW w:w="534" w:type="dxa"/>
            <w:vAlign w:val="center"/>
          </w:tcPr>
          <w:p w14:paraId="05FBFCE7" w14:textId="77777777" w:rsidR="00587FBD" w:rsidRDefault="00587FBD" w:rsidP="00587FBD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素</w:t>
            </w:r>
          </w:p>
          <w:p w14:paraId="2F21ED6E" w14:textId="77777777" w:rsidR="00587FBD" w:rsidRDefault="00587FBD" w:rsidP="00587FBD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质</w:t>
            </w:r>
          </w:p>
          <w:p w14:paraId="439E61B0" w14:textId="77777777" w:rsidR="00587FBD" w:rsidRDefault="00587FBD" w:rsidP="00587FBD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目</w:t>
            </w:r>
          </w:p>
          <w:p w14:paraId="2E1676C7" w14:textId="77777777" w:rsidR="00587FBD" w:rsidRDefault="00587FBD" w:rsidP="00587FBD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62AD8A35" w14:textId="77777777" w:rsidR="00766B88" w:rsidRDefault="00766B88" w:rsidP="00587FBD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  <w:p w14:paraId="44357ED8" w14:textId="411BCDA8" w:rsidR="00587FBD" w:rsidRDefault="00587FBD" w:rsidP="00587FBD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71BEFBD2" w14:textId="77777777" w:rsidR="00766B88" w:rsidRDefault="00766B88" w:rsidP="00587FBD">
            <w:pPr>
              <w:rPr>
                <w:sz w:val="21"/>
                <w:szCs w:val="21"/>
              </w:rPr>
            </w:pPr>
            <w:r w:rsidRPr="00766B88">
              <w:rPr>
                <w:rFonts w:hint="eastAsia"/>
                <w:sz w:val="21"/>
                <w:szCs w:val="21"/>
              </w:rPr>
              <w:lastRenderedPageBreak/>
              <w:t>本课程通过在教学过程中适当加入一些谈判案例和新观念，培养学生的创新思维和思考方式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1CA1BA1F" w14:textId="6B9C99A3" w:rsidR="001A6D5F" w:rsidRDefault="001A6D5F" w:rsidP="00587FBD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ED5582A" w14:textId="2FC2D84B" w:rsidR="00587FBD" w:rsidRDefault="00587FBD" w:rsidP="00587FBD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40733E">
              <w:rPr>
                <w:sz w:val="21"/>
                <w:szCs w:val="21"/>
              </w:rPr>
              <w:lastRenderedPageBreak/>
              <w:t>3-3 掌握国际商务活动中的操作技巧及基本技能</w:t>
            </w:r>
          </w:p>
        </w:tc>
        <w:tc>
          <w:tcPr>
            <w:tcW w:w="1985" w:type="dxa"/>
            <w:vAlign w:val="center"/>
          </w:tcPr>
          <w:p w14:paraId="49A40F3C" w14:textId="60F08977" w:rsidR="00587FBD" w:rsidRDefault="00587FBD" w:rsidP="00587FBD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40733E">
              <w:rPr>
                <w:rFonts w:hint="eastAsia"/>
                <w:sz w:val="21"/>
                <w:szCs w:val="21"/>
              </w:rPr>
              <w:t>专业素质</w:t>
            </w:r>
          </w:p>
        </w:tc>
      </w:tr>
    </w:tbl>
    <w:p w14:paraId="0BE87875" w14:textId="77777777" w:rsidR="00F93796" w:rsidRDefault="00F93796">
      <w:pPr>
        <w:ind w:firstLineChars="250" w:firstLine="703"/>
        <w:rPr>
          <w:rFonts w:ascii="Times New Roman" w:cs="Times New Roman"/>
          <w:b/>
          <w:sz w:val="28"/>
          <w:szCs w:val="28"/>
        </w:rPr>
      </w:pPr>
    </w:p>
    <w:p w14:paraId="42925F94" w14:textId="03DB3763" w:rsidR="00250E63" w:rsidRDefault="00324BF8">
      <w:pPr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四、课程主要教学内容、学时安排及教学策略</w:t>
      </w:r>
    </w:p>
    <w:p w14:paraId="04697BD9" w14:textId="3329BF38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91"/>
        <w:gridCol w:w="4039"/>
        <w:gridCol w:w="1790"/>
        <w:gridCol w:w="951"/>
      </w:tblGrid>
      <w:tr w:rsidR="00250E63" w14:paraId="2A4EA2F5" w14:textId="77777777">
        <w:trPr>
          <w:trHeight w:val="606"/>
          <w:jc w:val="center"/>
        </w:trPr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5DC0E775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C7C531D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039" w:type="dxa"/>
            <w:tcMar>
              <w:left w:w="28" w:type="dxa"/>
              <w:right w:w="28" w:type="dxa"/>
            </w:tcMar>
            <w:vAlign w:val="center"/>
          </w:tcPr>
          <w:p w14:paraId="588D50AE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405D188D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951" w:type="dxa"/>
            <w:vAlign w:val="center"/>
          </w:tcPr>
          <w:p w14:paraId="4E839DEE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A33AC2" w14:paraId="796D9DB6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4A200C72" w14:textId="723E7BA7" w:rsidR="00A33AC2" w:rsidRDefault="00A33AC2" w:rsidP="00A33A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商务谈判基本概念</w:t>
            </w:r>
          </w:p>
        </w:tc>
        <w:tc>
          <w:tcPr>
            <w:tcW w:w="791" w:type="dxa"/>
            <w:vAlign w:val="center"/>
          </w:tcPr>
          <w:p w14:paraId="4A8A6028" w14:textId="7E515924" w:rsidR="00A33AC2" w:rsidRDefault="00A33AC2" w:rsidP="00A33AC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65282DFE" w14:textId="2CB0935D" w:rsidR="00A33AC2" w:rsidRDefault="00A33AC2" w:rsidP="00A33AC2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Pr="00A33AC2">
              <w:rPr>
                <w:rFonts w:asciiTheme="minorEastAsia" w:eastAsiaTheme="minorEastAsia" w:hAnsiTheme="minorEastAsia"/>
                <w:sz w:val="21"/>
                <w:szCs w:val="21"/>
              </w:rPr>
              <w:t>导致冲突的根本原因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33AC2">
              <w:rPr>
                <w:rFonts w:asciiTheme="minorEastAsia" w:eastAsiaTheme="minorEastAsia" w:hAnsiTheme="minorEastAsia"/>
                <w:sz w:val="21"/>
                <w:szCs w:val="21"/>
              </w:rPr>
              <w:t>解决冲突的基本途径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33AC2">
              <w:rPr>
                <w:rFonts w:asciiTheme="minorEastAsia" w:eastAsiaTheme="minorEastAsia" w:hAnsiTheme="minorEastAsia"/>
                <w:sz w:val="21"/>
                <w:szCs w:val="21"/>
              </w:rPr>
              <w:t>谈判、冲突和利益得失的定义</w:t>
            </w:r>
          </w:p>
          <w:p w14:paraId="5179534C" w14:textId="4CB97910" w:rsidR="00A33AC2" w:rsidRDefault="00A33AC2" w:rsidP="00A33AC2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A33AC2">
              <w:rPr>
                <w:rFonts w:asciiTheme="minorEastAsia" w:eastAsiaTheme="minorEastAsia" w:hAnsiTheme="minorEastAsia" w:hint="eastAsia"/>
                <w:sz w:val="21"/>
                <w:szCs w:val="21"/>
              </w:rPr>
              <w:t>谈判的基本程序</w:t>
            </w:r>
          </w:p>
          <w:p w14:paraId="67FCA5F9" w14:textId="179D8A08" w:rsidR="00E66B47" w:rsidRDefault="00A33AC2" w:rsidP="00A33AC2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介绍</w:t>
            </w:r>
            <w:r w:rsid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冲突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起源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让学生从正确的角度看待冲突。在面对冲突</w:t>
            </w:r>
            <w:r w:rsidR="00E66B47" w:rsidRP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时具有较强的自我调适能力</w:t>
            </w:r>
            <w:r w:rsid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，具备</w:t>
            </w:r>
            <w:r w:rsidR="00E66B47" w:rsidRP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良好的心理素质</w:t>
            </w:r>
            <w:r w:rsid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3997CA34" w14:textId="71473C03" w:rsidR="00A33AC2" w:rsidRDefault="00A33AC2" w:rsidP="00A33AC2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</w:t>
            </w:r>
            <w:r w:rsidR="00963417"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商务谈判基本概念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在课堂上予以讲授，主要运用讲授法和案例法开展教学，辅以启发式提问拓宽学生学习思路。</w:t>
            </w:r>
          </w:p>
        </w:tc>
        <w:tc>
          <w:tcPr>
            <w:tcW w:w="1790" w:type="dxa"/>
            <w:vAlign w:val="center"/>
          </w:tcPr>
          <w:p w14:paraId="56AC327C" w14:textId="2E4E568B" w:rsidR="00A33AC2" w:rsidRDefault="00A33AC2" w:rsidP="00A33AC2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课堂：结合学生身边的谈判案例，参与课堂互动</w:t>
            </w:r>
          </w:p>
          <w:p w14:paraId="0F350768" w14:textId="6A5AC5AC" w:rsidR="00A33AC2" w:rsidRDefault="00A33AC2" w:rsidP="00A33AC2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</w:t>
            </w:r>
            <w:r w:rsid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案例分析</w:t>
            </w:r>
            <w:r w:rsidR="00E66B47" w:rsidRPr="00E66B47">
              <w:rPr>
                <w:rFonts w:asciiTheme="minorEastAsia" w:eastAsiaTheme="minorEastAsia" w:hAnsiTheme="minorEastAsia" w:hint="eastAsia"/>
                <w:sz w:val="21"/>
                <w:szCs w:val="21"/>
              </w:rPr>
              <w:t>松下电器公司</w:t>
            </w:r>
          </w:p>
        </w:tc>
        <w:tc>
          <w:tcPr>
            <w:tcW w:w="951" w:type="dxa"/>
            <w:vAlign w:val="center"/>
          </w:tcPr>
          <w:p w14:paraId="0069E472" w14:textId="0F564FBB" w:rsidR="00A33AC2" w:rsidRDefault="00A33AC2" w:rsidP="00A33A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</w:tc>
      </w:tr>
      <w:tr w:rsidR="00A0374B" w14:paraId="15E78AA2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7D484713" w14:textId="5137B9D7" w:rsidR="00A0374B" w:rsidRDefault="00A0374B" w:rsidP="00A037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双赢理论与商务谈判</w:t>
            </w:r>
          </w:p>
        </w:tc>
        <w:tc>
          <w:tcPr>
            <w:tcW w:w="791" w:type="dxa"/>
            <w:vAlign w:val="center"/>
          </w:tcPr>
          <w:p w14:paraId="58DBAB26" w14:textId="463F1D3C" w:rsidR="00A0374B" w:rsidRDefault="00A0374B" w:rsidP="00A037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0035E0FF" w14:textId="37142840" w:rsidR="00A0374B" w:rsidRDefault="00A0374B" w:rsidP="00A0374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Pr="00A0374B">
              <w:rPr>
                <w:rFonts w:asciiTheme="minorEastAsia" w:eastAsiaTheme="minorEastAsia" w:hAnsiTheme="minorEastAsia"/>
                <w:sz w:val="21"/>
                <w:szCs w:val="21"/>
              </w:rPr>
              <w:t>确定己方的利益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0374B">
              <w:rPr>
                <w:rFonts w:asciiTheme="minorEastAsia" w:eastAsiaTheme="minorEastAsia" w:hAnsiTheme="minorEastAsia"/>
                <w:sz w:val="21"/>
                <w:szCs w:val="21"/>
              </w:rPr>
              <w:t>传统的谈判观念和双赢理论的异同</w:t>
            </w:r>
          </w:p>
          <w:p w14:paraId="2E053A4E" w14:textId="7CA515B0" w:rsidR="00A0374B" w:rsidRDefault="00A0374B" w:rsidP="00A0374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A0374B">
              <w:rPr>
                <w:rFonts w:asciiTheme="minorEastAsia" w:eastAsiaTheme="minorEastAsia" w:hAnsiTheme="minorEastAsia"/>
                <w:sz w:val="21"/>
                <w:szCs w:val="21"/>
              </w:rPr>
              <w:t>合作原则谈判法的组成部分</w:t>
            </w:r>
          </w:p>
          <w:p w14:paraId="7E41A565" w14:textId="386F5645" w:rsidR="00A0374B" w:rsidRDefault="00A0374B" w:rsidP="00A0374B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</w:t>
            </w:r>
            <w:r w:rsidR="00963417">
              <w:rPr>
                <w:rFonts w:asciiTheme="minorEastAsia" w:eastAsiaTheme="minorEastAsia" w:hAnsiTheme="minorEastAsia" w:hint="eastAsia"/>
                <w:sz w:val="21"/>
                <w:szCs w:val="21"/>
              </w:rPr>
              <w:t>双赢理论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在课堂上予以讲授，主要运用讲授法和案例法开展教学，辅以启发式提问拓宽学生学习思路。</w:t>
            </w:r>
          </w:p>
        </w:tc>
        <w:tc>
          <w:tcPr>
            <w:tcW w:w="1790" w:type="dxa"/>
            <w:vAlign w:val="center"/>
          </w:tcPr>
          <w:p w14:paraId="758BAD3C" w14:textId="561B3633" w:rsidR="0043039C" w:rsidRDefault="00A0374B" w:rsidP="00A0374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</w:t>
            </w:r>
            <w:r w:rsidR="00312093">
              <w:rPr>
                <w:rFonts w:asciiTheme="minorEastAsia" w:eastAsiaTheme="minorEastAsia" w:hAnsiTheme="minorEastAsia" w:hint="eastAsia"/>
                <w:sz w:val="21"/>
                <w:szCs w:val="21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43039C">
              <w:rPr>
                <w:rFonts w:asciiTheme="minorEastAsia" w:eastAsiaTheme="minorEastAsia" w:hAnsiTheme="minorEastAsia" w:hint="eastAsia"/>
                <w:sz w:val="21"/>
                <w:szCs w:val="21"/>
              </w:rPr>
              <w:t>预习双赢理论</w:t>
            </w:r>
          </w:p>
          <w:p w14:paraId="377316AB" w14:textId="625CEAF4" w:rsidR="00A0374B" w:rsidRDefault="00A0374B" w:rsidP="00A0374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课后：案例分析</w:t>
            </w:r>
            <w:r w:rsidR="0043039C" w:rsidRPr="0043039C">
              <w:rPr>
                <w:rFonts w:asciiTheme="minorEastAsia" w:eastAsiaTheme="minorEastAsia" w:hAnsiTheme="minorEastAsia" w:hint="eastAsia"/>
                <w:sz w:val="21"/>
                <w:szCs w:val="21"/>
              </w:rPr>
              <w:t>发展中国家与发达国家的争论</w:t>
            </w:r>
          </w:p>
        </w:tc>
        <w:tc>
          <w:tcPr>
            <w:tcW w:w="951" w:type="dxa"/>
            <w:vAlign w:val="center"/>
          </w:tcPr>
          <w:p w14:paraId="3E86E733" w14:textId="77777777" w:rsidR="0043039C" w:rsidRDefault="00A0374B" w:rsidP="00A037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55396514" w14:textId="050A9495" w:rsidR="00A0374B" w:rsidRDefault="0043039C" w:rsidP="00A0374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  <w:tr w:rsidR="00312093" w14:paraId="7EE3FC58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33A0CC0E" w14:textId="32336FC6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商务谈判法则</w:t>
            </w:r>
          </w:p>
        </w:tc>
        <w:tc>
          <w:tcPr>
            <w:tcW w:w="791" w:type="dxa"/>
            <w:vAlign w:val="center"/>
          </w:tcPr>
          <w:p w14:paraId="3AC0F3F4" w14:textId="7287290F" w:rsidR="00312093" w:rsidRDefault="00312093" w:rsidP="003120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7CFE79C1" w14:textId="6ADAD80B" w:rsidR="00312093" w:rsidRP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Pr="00312093">
              <w:rPr>
                <w:rFonts w:asciiTheme="minorEastAsia" w:eastAsiaTheme="minorEastAsia" w:hAnsiTheme="minorEastAsia"/>
                <w:sz w:val="21"/>
                <w:szCs w:val="21"/>
              </w:rPr>
              <w:t>马斯洛需求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12093">
              <w:rPr>
                <w:rFonts w:asciiTheme="minorEastAsia" w:eastAsiaTheme="minorEastAsia" w:hAnsiTheme="minorEastAsia"/>
                <w:sz w:val="21"/>
                <w:szCs w:val="21"/>
              </w:rPr>
              <w:t>谈判力定义</w:t>
            </w:r>
            <w:r w:rsidR="002136AD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2136AD" w:rsidRPr="002136AD">
              <w:rPr>
                <w:rFonts w:asciiTheme="minorEastAsia" w:eastAsiaTheme="minorEastAsia" w:hAnsiTheme="minorEastAsia"/>
                <w:sz w:val="21"/>
                <w:szCs w:val="21"/>
              </w:rPr>
              <w:t>信任他人或被他人信任的决定因素</w:t>
            </w:r>
          </w:p>
          <w:p w14:paraId="4991CC69" w14:textId="30D2DFCC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312093">
              <w:rPr>
                <w:rFonts w:asciiTheme="minorEastAsia" w:eastAsiaTheme="minorEastAsia" w:hAnsiTheme="minorEastAsia"/>
                <w:sz w:val="21"/>
                <w:szCs w:val="21"/>
              </w:rPr>
              <w:t>影响谈判力变化的因素</w:t>
            </w:r>
          </w:p>
          <w:p w14:paraId="1D28889B" w14:textId="481E6AAA" w:rsidR="00455A13" w:rsidRPr="00455A13" w:rsidRDefault="00455A13" w:rsidP="00455A1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通过谈判法则的学习，让学生</w:t>
            </w:r>
            <w:r w:rsidRPr="00455A13">
              <w:rPr>
                <w:rFonts w:asciiTheme="minorEastAsia" w:eastAsiaTheme="minorEastAsia" w:hAnsiTheme="minorEastAsia" w:hint="eastAsia"/>
                <w:sz w:val="21"/>
                <w:szCs w:val="21"/>
              </w:rPr>
              <w:t>具有良好的与社会外界沟通交流技能，能洞察他人的行为和感受；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</w:t>
            </w:r>
            <w:r w:rsidRPr="00455A13">
              <w:rPr>
                <w:rFonts w:asciiTheme="minorEastAsia" w:eastAsiaTheme="minorEastAsia" w:hAnsiTheme="minorEastAsia" w:hint="eastAsia"/>
                <w:sz w:val="21"/>
                <w:szCs w:val="21"/>
              </w:rPr>
              <w:t>平等协商等原则进行沟通，实现谈判目标。</w:t>
            </w:r>
          </w:p>
          <w:p w14:paraId="175B9A54" w14:textId="318B622C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</w:t>
            </w:r>
            <w:r w:rsidR="00963417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相关商务谈判法则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在课堂上予以讲授，主要运用讲授法和案例法开展教学，辅以启发式提问拓宽学生学习思路。</w:t>
            </w:r>
          </w:p>
        </w:tc>
        <w:tc>
          <w:tcPr>
            <w:tcW w:w="1790" w:type="dxa"/>
            <w:vAlign w:val="center"/>
          </w:tcPr>
          <w:p w14:paraId="4608F1E1" w14:textId="7C8E5A9C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</w:t>
            </w:r>
            <w:r w:rsidR="002136AD">
              <w:rPr>
                <w:rFonts w:asciiTheme="minorEastAsia" w:eastAsiaTheme="minorEastAsia" w:hAnsiTheme="minorEastAsia" w:hint="eastAsia"/>
                <w:sz w:val="21"/>
                <w:szCs w:val="21"/>
              </w:rPr>
              <w:t>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2136AD">
              <w:rPr>
                <w:rFonts w:asciiTheme="minorEastAsia" w:eastAsiaTheme="minorEastAsia" w:hAnsiTheme="minorEastAsia" w:hint="eastAsia"/>
                <w:sz w:val="21"/>
                <w:szCs w:val="21"/>
              </w:rPr>
              <w:t>引入案例</w:t>
            </w:r>
            <w:r w:rsidR="002136AD" w:rsidRPr="002136AD">
              <w:rPr>
                <w:rFonts w:asciiTheme="minorEastAsia" w:eastAsiaTheme="minorEastAsia" w:hAnsiTheme="minorEastAsia" w:hint="eastAsia"/>
                <w:sz w:val="21"/>
                <w:szCs w:val="21"/>
              </w:rPr>
              <w:t>美日半导体谈判</w:t>
            </w:r>
          </w:p>
          <w:p w14:paraId="303C5552" w14:textId="2FDD97AD" w:rsidR="00312093" w:rsidRPr="00166A60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课后：案例分析</w:t>
            </w:r>
            <w:r w:rsidR="00166A60" w:rsidRPr="00166A60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</w:t>
            </w:r>
            <w:proofErr w:type="gramStart"/>
            <w:r w:rsidR="00166A60" w:rsidRPr="00166A60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  <w:r w:rsidR="00166A60" w:rsidRPr="00166A60">
              <w:rPr>
                <w:rFonts w:asciiTheme="minorEastAsia" w:eastAsiaTheme="minorEastAsia" w:hAnsiTheme="minorEastAsia" w:hint="eastAsia"/>
                <w:sz w:val="21"/>
                <w:szCs w:val="21"/>
              </w:rPr>
              <w:t>汽集团与德国大众股权变更谈判</w:t>
            </w:r>
          </w:p>
        </w:tc>
        <w:tc>
          <w:tcPr>
            <w:tcW w:w="951" w:type="dxa"/>
            <w:vAlign w:val="center"/>
          </w:tcPr>
          <w:p w14:paraId="7FEAF1A4" w14:textId="77777777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6A75EFCF" w14:textId="3BC66651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目标2</w:t>
            </w:r>
          </w:p>
          <w:p w14:paraId="15A1E53C" w14:textId="497DD3FB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  <w:tr w:rsidR="00312093" w14:paraId="6BC1E591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0B54BC1A" w14:textId="1D951501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性格类型和博弈论的应用</w:t>
            </w:r>
          </w:p>
        </w:tc>
        <w:tc>
          <w:tcPr>
            <w:tcW w:w="791" w:type="dxa"/>
            <w:vAlign w:val="center"/>
          </w:tcPr>
          <w:p w14:paraId="4CC0D5EF" w14:textId="4A2E6FE3" w:rsidR="00312093" w:rsidRDefault="00312093" w:rsidP="003120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039" w:type="dxa"/>
            <w:vAlign w:val="center"/>
          </w:tcPr>
          <w:p w14:paraId="4F5D13EA" w14:textId="377ACF5B" w:rsidR="00312093" w:rsidRPr="00E70B44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E70B44" w:rsidRPr="00E70B44">
              <w:rPr>
                <w:rFonts w:asciiTheme="minorEastAsia" w:eastAsiaTheme="minorEastAsia" w:hAnsiTheme="minorEastAsia" w:hint="eastAsia"/>
                <w:sz w:val="21"/>
                <w:szCs w:val="21"/>
              </w:rPr>
              <w:t>谈判者的性格类型</w:t>
            </w:r>
            <w:r w:rsidR="00E70B44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E70B44" w:rsidRPr="00E70B44">
              <w:rPr>
                <w:rFonts w:asciiTheme="minorEastAsia" w:eastAsiaTheme="minorEastAsia" w:hAnsiTheme="minorEastAsia"/>
                <w:sz w:val="21"/>
                <w:szCs w:val="21"/>
              </w:rPr>
              <w:t>博弈论的基本假设</w:t>
            </w:r>
          </w:p>
          <w:p w14:paraId="40D1E10F" w14:textId="52E18A63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E70B44" w:rsidRPr="00E70B44">
              <w:rPr>
                <w:rFonts w:asciiTheme="minorEastAsia" w:eastAsiaTheme="minorEastAsia" w:hAnsiTheme="minorEastAsia"/>
                <w:sz w:val="21"/>
                <w:szCs w:val="21"/>
              </w:rPr>
              <w:t>囚徒困境</w:t>
            </w:r>
          </w:p>
          <w:p w14:paraId="1CDC1D46" w14:textId="040E3BA4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</w:t>
            </w:r>
            <w:r w:rsidR="00963417">
              <w:rPr>
                <w:rFonts w:asciiTheme="minorEastAsia" w:eastAsiaTheme="minorEastAsia" w:hAnsiTheme="minorEastAsia" w:hint="eastAsia"/>
                <w:sz w:val="21"/>
                <w:szCs w:val="21"/>
              </w:rPr>
              <w:t>性格类型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在课堂上予以讲授，</w:t>
            </w:r>
            <w:r w:rsidR="00963417">
              <w:rPr>
                <w:rFonts w:asciiTheme="minorEastAsia" w:eastAsiaTheme="minorEastAsia" w:hAnsiTheme="minorEastAsia" w:hint="eastAsia"/>
                <w:sz w:val="21"/>
                <w:szCs w:val="21"/>
              </w:rPr>
              <w:t>博弈论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主要运用案例法开展教学，辅以启发式提问拓宽学生学习思路。</w:t>
            </w:r>
          </w:p>
        </w:tc>
        <w:tc>
          <w:tcPr>
            <w:tcW w:w="1790" w:type="dxa"/>
            <w:vAlign w:val="center"/>
          </w:tcPr>
          <w:p w14:paraId="481BE13E" w14:textId="15803C8D" w:rsidR="00312093" w:rsidRPr="00723B9F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</w:t>
            </w:r>
            <w:r w:rsidR="00723B9F">
              <w:rPr>
                <w:rFonts w:asciiTheme="minorEastAsia" w:eastAsiaTheme="minorEastAsia" w:hAnsiTheme="minorEastAsia" w:hint="eastAsia"/>
                <w:sz w:val="21"/>
                <w:szCs w:val="21"/>
              </w:rPr>
              <w:t>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723B9F">
              <w:rPr>
                <w:rFonts w:asciiTheme="minorEastAsia" w:eastAsiaTheme="minorEastAsia" w:hAnsiTheme="minorEastAsia" w:hint="eastAsia"/>
                <w:sz w:val="21"/>
                <w:szCs w:val="21"/>
              </w:rPr>
              <w:t>引入案例</w:t>
            </w:r>
            <w:r w:rsidR="00723B9F" w:rsidRPr="00723B9F">
              <w:rPr>
                <w:rFonts w:asciiTheme="minorEastAsia" w:eastAsiaTheme="minorEastAsia" w:hAnsiTheme="minorEastAsia" w:hint="eastAsia"/>
                <w:sz w:val="21"/>
                <w:szCs w:val="21"/>
              </w:rPr>
              <w:t>在纽约曼哈顿购物</w:t>
            </w:r>
          </w:p>
          <w:p w14:paraId="435BCC0A" w14:textId="3DE8178E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课后：案例分析</w:t>
            </w:r>
            <w:r w:rsidR="00723B9F" w:rsidRPr="00723B9F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中国与日本</w:t>
            </w:r>
            <w:r w:rsidR="0084489B">
              <w:rPr>
                <w:rFonts w:asciiTheme="minorEastAsia" w:eastAsiaTheme="minorEastAsia" w:hAnsiTheme="minorEastAsia" w:hint="eastAsia"/>
                <w:sz w:val="21"/>
                <w:szCs w:val="21"/>
              </w:rPr>
              <w:t>铁矿石</w:t>
            </w:r>
            <w:r w:rsidR="00723B9F" w:rsidRPr="00723B9F">
              <w:rPr>
                <w:rFonts w:asciiTheme="minorEastAsia" w:eastAsiaTheme="minorEastAsia" w:hAnsiTheme="minorEastAsia" w:hint="eastAsia"/>
                <w:sz w:val="21"/>
                <w:szCs w:val="21"/>
              </w:rPr>
              <w:t>谈判中的博弈</w:t>
            </w:r>
          </w:p>
        </w:tc>
        <w:tc>
          <w:tcPr>
            <w:tcW w:w="951" w:type="dxa"/>
            <w:vAlign w:val="center"/>
          </w:tcPr>
          <w:p w14:paraId="45501202" w14:textId="77777777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33AF6BA8" w14:textId="2BCFB5BD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  <w:tr w:rsidR="00312093" w14:paraId="11552B19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5E2BA4C6" w14:textId="1079631C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两分法谈判与复杂谈判</w:t>
            </w:r>
          </w:p>
        </w:tc>
        <w:tc>
          <w:tcPr>
            <w:tcW w:w="791" w:type="dxa"/>
            <w:vAlign w:val="center"/>
          </w:tcPr>
          <w:p w14:paraId="4B5D3378" w14:textId="3B0F048D" w:rsidR="00312093" w:rsidRDefault="00312093" w:rsidP="003120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039" w:type="dxa"/>
            <w:vAlign w:val="center"/>
          </w:tcPr>
          <w:p w14:paraId="1DD67A99" w14:textId="70A438CB" w:rsidR="00312093" w:rsidRDefault="00312093" w:rsidP="00CF27B9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CF27B9" w:rsidRPr="00CF27B9">
              <w:rPr>
                <w:rFonts w:asciiTheme="minorEastAsia" w:eastAsiaTheme="minorEastAsia" w:hAnsiTheme="minorEastAsia" w:hint="eastAsia"/>
                <w:sz w:val="21"/>
                <w:szCs w:val="21"/>
              </w:rPr>
              <w:t>两分法谈判</w:t>
            </w:r>
            <w:r w:rsidR="00CF27B9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F27B9" w:rsidRPr="00CF27B9">
              <w:rPr>
                <w:rFonts w:asciiTheme="minorEastAsia" w:eastAsiaTheme="minorEastAsia" w:hAnsiTheme="minorEastAsia"/>
                <w:sz w:val="21"/>
                <w:szCs w:val="21"/>
              </w:rPr>
              <w:t>价格区间与可能达成协议的区间</w:t>
            </w:r>
            <w:r w:rsidR="00CF27B9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F27B9" w:rsidRPr="00CF27B9">
              <w:rPr>
                <w:rFonts w:asciiTheme="minorEastAsia" w:eastAsiaTheme="minorEastAsia" w:hAnsiTheme="minorEastAsia"/>
                <w:sz w:val="21"/>
                <w:szCs w:val="21"/>
              </w:rPr>
              <w:t>第三方的分类</w:t>
            </w:r>
          </w:p>
          <w:p w14:paraId="482A0EDB" w14:textId="13BAABBC" w:rsidR="00312093" w:rsidRDefault="00312093" w:rsidP="00CF27B9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CF27B9" w:rsidRPr="00CF27B9">
              <w:rPr>
                <w:rFonts w:asciiTheme="minorEastAsia" w:eastAsiaTheme="minorEastAsia" w:hAnsiTheme="minorEastAsia" w:hint="eastAsia"/>
                <w:sz w:val="21"/>
                <w:szCs w:val="21"/>
              </w:rPr>
              <w:t>复杂谈判的特点</w:t>
            </w:r>
          </w:p>
          <w:p w14:paraId="518C5FE1" w14:textId="7366BB05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</w:t>
            </w:r>
            <w:r w:rsidR="00494EE8">
              <w:rPr>
                <w:rFonts w:asciiTheme="minorEastAsia" w:eastAsiaTheme="minorEastAsia" w:hAnsiTheme="minorEastAsia" w:hint="eastAsia"/>
                <w:sz w:val="21"/>
                <w:szCs w:val="21"/>
              </w:rPr>
              <w:t>两分法谈判与复杂谈判分别讲述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，主要运用讲授法和案例法开展教学，辅以启发式提问拓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宽学生学习思路。</w:t>
            </w:r>
          </w:p>
        </w:tc>
        <w:tc>
          <w:tcPr>
            <w:tcW w:w="1790" w:type="dxa"/>
            <w:vAlign w:val="center"/>
          </w:tcPr>
          <w:p w14:paraId="4DFA18E5" w14:textId="5702CE4A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课前：预习</w:t>
            </w:r>
            <w:r w:rsidR="00CF27B9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</w:t>
            </w:r>
            <w:r w:rsidR="00CF27B9" w:rsidRPr="00CF27B9">
              <w:rPr>
                <w:rFonts w:asciiTheme="minorEastAsia" w:eastAsiaTheme="minorEastAsia" w:hAnsiTheme="minorEastAsia" w:hint="eastAsia"/>
                <w:sz w:val="21"/>
                <w:szCs w:val="21"/>
              </w:rPr>
              <w:t>二手车销售</w:t>
            </w:r>
          </w:p>
          <w:p w14:paraId="11471A0D" w14:textId="06376424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课后：案例分析</w:t>
            </w:r>
            <w:r w:rsidR="00625B99" w:rsidRP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艾柯卡拯救克莱斯勒公司</w:t>
            </w:r>
          </w:p>
        </w:tc>
        <w:tc>
          <w:tcPr>
            <w:tcW w:w="951" w:type="dxa"/>
            <w:vAlign w:val="center"/>
          </w:tcPr>
          <w:p w14:paraId="5A7BD36C" w14:textId="77777777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6FBF19FE" w14:textId="5B6AC62D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  <w:tr w:rsidR="00312093" w14:paraId="19AC93C6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243D93AD" w14:textId="47E95C94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谈判文化模式和风险管理</w:t>
            </w:r>
          </w:p>
        </w:tc>
        <w:tc>
          <w:tcPr>
            <w:tcW w:w="791" w:type="dxa"/>
            <w:vAlign w:val="center"/>
          </w:tcPr>
          <w:p w14:paraId="695728E4" w14:textId="0890EE34" w:rsidR="00312093" w:rsidRDefault="00312093" w:rsidP="0031209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6D9A591B" w14:textId="61CECDBF" w:rsidR="00312093" w:rsidRPr="008115D7" w:rsidRDefault="00312093" w:rsidP="008115D7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8115D7" w:rsidRP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文化的定义、文化模式</w:t>
            </w:r>
            <w:r w:rsidR="00625B99" w:rsidRP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、识别风险来源</w:t>
            </w:r>
          </w:p>
          <w:p w14:paraId="55594FDA" w14:textId="3D983436" w:rsidR="00312093" w:rsidRP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625B99" w:rsidRP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霍夫斯泰德的文化价值研究</w:t>
            </w:r>
            <w:r w:rsid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625B99" w:rsidRP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风险管理</w:t>
            </w:r>
          </w:p>
          <w:p w14:paraId="580C5C86" w14:textId="01A3C66D" w:rsidR="008115D7" w:rsidRDefault="00312093" w:rsidP="0031209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8115D7" w:rsidRPr="008115D7"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通过对谈判文化的学习，让学生熟悉欧美国家、“一带一路”国家的文化、习俗和商务礼仪</w:t>
            </w:r>
            <w:r w:rsidR="008115D7">
              <w:rPr>
                <w:rFonts w:asciiTheme="minorEastAsia" w:eastAsiaTheme="minorEastAsia" w:hAnsiTheme="minorEastAsia" w:hint="eastAsia"/>
                <w:sz w:val="21"/>
                <w:szCs w:val="21"/>
              </w:rPr>
              <w:t>，具备跨文化沟通能力和全球视野。</w:t>
            </w:r>
          </w:p>
          <w:p w14:paraId="4FC892E3" w14:textId="34DC635C" w:rsidR="00312093" w:rsidRDefault="00312093" w:rsidP="00312093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</w:t>
            </w:r>
            <w:r w:rsidR="00494EE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在课堂上予以讲授，</w:t>
            </w:r>
            <w:r w:rsidR="00494EE8">
              <w:rPr>
                <w:rFonts w:asciiTheme="minorEastAsia" w:eastAsiaTheme="minorEastAsia" w:hAnsiTheme="minorEastAsia" w:hint="eastAsia"/>
                <w:sz w:val="21"/>
                <w:szCs w:val="21"/>
              </w:rPr>
              <w:t>谈判文化模式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主要运用案例法开展教学，辅以启发式提问拓宽学生学习思路。</w:t>
            </w:r>
          </w:p>
        </w:tc>
        <w:tc>
          <w:tcPr>
            <w:tcW w:w="1790" w:type="dxa"/>
            <w:vAlign w:val="center"/>
          </w:tcPr>
          <w:p w14:paraId="42C9A302" w14:textId="4D5261BD" w:rsidR="00312093" w:rsidRPr="00625B99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</w:t>
            </w:r>
            <w:r w:rsid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引入案例</w:t>
            </w:r>
            <w:r w:rsidR="00625B99" w:rsidRP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南部蜡烛公司的法国之行</w:t>
            </w:r>
          </w:p>
          <w:p w14:paraId="5CB7E30F" w14:textId="0A774120" w:rsidR="00312093" w:rsidRPr="00625B99" w:rsidRDefault="00312093" w:rsidP="0031209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课后：案例分析</w:t>
            </w:r>
            <w:r w:rsidR="00625B99" w:rsidRPr="00625B99">
              <w:rPr>
                <w:rFonts w:asciiTheme="minorEastAsia" w:eastAsiaTheme="minorEastAsia" w:hAnsiTheme="minorEastAsia" w:hint="eastAsia"/>
                <w:sz w:val="21"/>
                <w:szCs w:val="21"/>
              </w:rPr>
              <w:t>安然公司在印度的失败谈判</w:t>
            </w:r>
          </w:p>
        </w:tc>
        <w:tc>
          <w:tcPr>
            <w:tcW w:w="951" w:type="dxa"/>
            <w:vAlign w:val="center"/>
          </w:tcPr>
          <w:p w14:paraId="463003FF" w14:textId="77777777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3B1617AB" w14:textId="77777777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目标2</w:t>
            </w:r>
          </w:p>
          <w:p w14:paraId="158E9310" w14:textId="5996C047" w:rsidR="00312093" w:rsidRDefault="00312093" w:rsidP="00312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</w:tbl>
    <w:p w14:paraId="64461C9A" w14:textId="570F26D4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7B517731" w14:textId="77777777" w:rsidR="00EB3697" w:rsidRDefault="00EB3697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072B598C" w14:textId="77777777" w:rsidR="00250E63" w:rsidRDefault="00324BF8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五、学生学习成效评估方式及标准</w:t>
      </w:r>
    </w:p>
    <w:p w14:paraId="2516F866" w14:textId="283A6BA2" w:rsidR="00250E63" w:rsidRDefault="00324BF8" w:rsidP="004F06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考核与评价是对课程教学目标中的知识目标、能力目标和素质目标等进行综合评价。在本课程中，学生的最终成绩是由平时成绩、期末考</w:t>
      </w:r>
      <w:r w:rsidR="00C24A02">
        <w:rPr>
          <w:rFonts w:asciiTheme="minorEastAsia" w:eastAsiaTheme="minorEastAsia" w:hAnsiTheme="minorEastAsia" w:cs="Times New Roman" w:hint="eastAsia"/>
          <w:sz w:val="21"/>
          <w:szCs w:val="21"/>
        </w:rPr>
        <w:t>查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两个部分组成。</w:t>
      </w:r>
    </w:p>
    <w:p w14:paraId="7D441ECB" w14:textId="2F3DC01C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1.平时成绩（占总成绩的40%）：采用百分制。平时成绩分</w:t>
      </w:r>
      <w:r w:rsidR="00995145">
        <w:rPr>
          <w:rFonts w:asciiTheme="minorEastAsia" w:eastAsiaTheme="minorEastAsia" w:hAnsiTheme="minorEastAsia" w:cs="Times New Roman" w:hint="eastAsia"/>
          <w:sz w:val="21"/>
          <w:szCs w:val="21"/>
        </w:rPr>
        <w:t>案例分析</w:t>
      </w:r>
      <w:r w:rsidR="00B82AED">
        <w:rPr>
          <w:rFonts w:asciiTheme="minorEastAsia" w:eastAsiaTheme="minorEastAsia" w:hAnsiTheme="minorEastAsia" w:cs="Times New Roman" w:hint="eastAsia"/>
          <w:sz w:val="21"/>
          <w:szCs w:val="21"/>
        </w:rPr>
        <w:t>完成情况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（占15%）、</w:t>
      </w:r>
      <w:r w:rsidR="00B82AED">
        <w:rPr>
          <w:rFonts w:asciiTheme="minorEastAsia" w:eastAsiaTheme="minorEastAsia" w:hAnsiTheme="minorEastAsia" w:cs="Times New Roman" w:hint="eastAsia"/>
          <w:sz w:val="21"/>
          <w:szCs w:val="21"/>
        </w:rPr>
        <w:t>课堂讨论参与情况（占1</w:t>
      </w:r>
      <w:r w:rsidR="00B82AED">
        <w:rPr>
          <w:rFonts w:asciiTheme="minorEastAsia" w:eastAsiaTheme="minorEastAsia" w:hAnsiTheme="minorEastAsia" w:cs="Times New Roman"/>
          <w:sz w:val="21"/>
          <w:szCs w:val="21"/>
        </w:rPr>
        <w:t>5</w:t>
      </w:r>
      <w:r w:rsidR="00B82AED">
        <w:rPr>
          <w:rFonts w:asciiTheme="minorEastAsia" w:eastAsiaTheme="minorEastAsia" w:hAnsiTheme="minorEastAsia" w:cs="Times New Roman" w:hint="eastAsia"/>
          <w:sz w:val="21"/>
          <w:szCs w:val="21"/>
        </w:rPr>
        <w:t>%）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和考勤（占</w:t>
      </w:r>
      <w:r w:rsidR="00B82AED">
        <w:rPr>
          <w:rFonts w:asciiTheme="minorEastAsia" w:eastAsiaTheme="minorEastAsia" w:hAnsiTheme="minorEastAsia" w:cs="Times New Roman"/>
          <w:sz w:val="21"/>
          <w:szCs w:val="21"/>
        </w:rPr>
        <w:t>10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%）四个部分。评分标准如下表：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4"/>
        <w:gridCol w:w="7240"/>
      </w:tblGrid>
      <w:tr w:rsidR="00250E63" w14:paraId="087DADE9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395E455C" w14:textId="77777777" w:rsidR="00250E63" w:rsidRDefault="00324BF8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7097BEC0" w14:textId="77777777" w:rsidR="00250E63" w:rsidRDefault="00324BF8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250E63" w14:paraId="041809D7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58857552" w14:textId="77777777" w:rsidR="00250E63" w:rsidRDefault="00250E63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12F2B50A" w14:textId="62123100" w:rsidR="00250E63" w:rsidRDefault="00324BF8"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1.</w:t>
            </w:r>
            <w:r w:rsidR="00995145">
              <w:rPr>
                <w:rFonts w:ascii="Times New Roman" w:cs="Times New Roman" w:hint="eastAsia"/>
                <w:b/>
                <w:sz w:val="21"/>
                <w:szCs w:val="21"/>
              </w:rPr>
              <w:t>案例分析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2.</w:t>
            </w:r>
            <w:r w:rsidR="00B82AED">
              <w:rPr>
                <w:rFonts w:ascii="Times New Roman" w:cs="Times New Roman" w:hint="eastAsia"/>
                <w:b/>
                <w:sz w:val="21"/>
                <w:szCs w:val="21"/>
              </w:rPr>
              <w:t>课堂讨论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考勤</w:t>
            </w:r>
          </w:p>
        </w:tc>
      </w:tr>
      <w:tr w:rsidR="00250E63" w14:paraId="188E4BC6" w14:textId="77777777">
        <w:trPr>
          <w:jc w:val="center"/>
        </w:trPr>
        <w:tc>
          <w:tcPr>
            <w:tcW w:w="1614" w:type="dxa"/>
          </w:tcPr>
          <w:p w14:paraId="293E4257" w14:textId="77777777" w:rsidR="00250E63" w:rsidRDefault="00324BF8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5483D726" w14:textId="77777777" w:rsidR="00250E63" w:rsidRDefault="00324BF8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60E1BAF3" w14:textId="044306E1" w:rsidR="00250E63" w:rsidRDefault="00324BF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4F068E">
              <w:rPr>
                <w:rFonts w:hint="eastAsia"/>
                <w:sz w:val="21"/>
                <w:szCs w:val="21"/>
              </w:rPr>
              <w:t>能完成</w:t>
            </w:r>
            <w:r w:rsidR="004F068E">
              <w:rPr>
                <w:sz w:val="21"/>
                <w:szCs w:val="21"/>
              </w:rPr>
              <w:t>4</w:t>
            </w:r>
            <w:r w:rsidR="004F068E">
              <w:rPr>
                <w:rFonts w:hint="eastAsia"/>
                <w:sz w:val="21"/>
                <w:szCs w:val="21"/>
              </w:rPr>
              <w:t>个</w:t>
            </w:r>
            <w:r w:rsidR="00995145">
              <w:rPr>
                <w:rFonts w:hint="eastAsia"/>
                <w:sz w:val="21"/>
                <w:szCs w:val="21"/>
              </w:rPr>
              <w:t>案例分析</w:t>
            </w:r>
            <w:r w:rsidR="004F068E">
              <w:rPr>
                <w:rFonts w:hint="eastAsia"/>
                <w:sz w:val="21"/>
                <w:szCs w:val="21"/>
              </w:rPr>
              <w:t>，并提交相关资料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ECDD691" w14:textId="641B6C15" w:rsidR="00250E63" w:rsidRDefault="00324BF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="004F068E">
              <w:rPr>
                <w:rFonts w:hint="eastAsia"/>
                <w:sz w:val="21"/>
                <w:szCs w:val="21"/>
              </w:rPr>
              <w:t>积极参与课堂讨论，回答问题的次数在全班前1</w:t>
            </w:r>
            <w:r w:rsidR="004F068E">
              <w:rPr>
                <w:sz w:val="21"/>
                <w:szCs w:val="21"/>
              </w:rPr>
              <w:t>0</w:t>
            </w:r>
            <w:r w:rsidR="004F068E">
              <w:rPr>
                <w:rFonts w:hint="eastAsia"/>
                <w:sz w:val="21"/>
                <w:szCs w:val="21"/>
              </w:rPr>
              <w:t>%（每次点名回答问题均有记载）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9AD4DCB" w14:textId="77777777" w:rsidR="00250E63" w:rsidRDefault="00324BF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3.全勤</w:t>
            </w:r>
          </w:p>
        </w:tc>
      </w:tr>
      <w:tr w:rsidR="00250E63" w14:paraId="4EC32014" w14:textId="77777777">
        <w:trPr>
          <w:jc w:val="center"/>
        </w:trPr>
        <w:tc>
          <w:tcPr>
            <w:tcW w:w="1614" w:type="dxa"/>
          </w:tcPr>
          <w:p w14:paraId="25FDBB68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120B3B68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0FEEDCC5" w14:textId="2A6C20FA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1.能完成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</w:t>
            </w:r>
            <w:r w:rsidR="00995145">
              <w:rPr>
                <w:rFonts w:hint="eastAsia"/>
                <w:sz w:val="21"/>
                <w:szCs w:val="21"/>
              </w:rPr>
              <w:t>案例分析</w:t>
            </w:r>
            <w:r>
              <w:rPr>
                <w:rFonts w:hint="eastAsia"/>
                <w:sz w:val="21"/>
                <w:szCs w:val="21"/>
              </w:rPr>
              <w:t>，并提交相关资料。</w:t>
            </w:r>
          </w:p>
          <w:p w14:paraId="5998396C" w14:textId="402E0CAD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2.参与课堂讨论，回答问题的次数在全班前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  <w:p w14:paraId="75440D67" w14:textId="378BF97C" w:rsidR="00250E63" w:rsidRDefault="00324BF8" w:rsidP="004F068E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3.旷课1次</w:t>
            </w:r>
          </w:p>
        </w:tc>
      </w:tr>
      <w:tr w:rsidR="00250E63" w14:paraId="35A6E112" w14:textId="77777777">
        <w:trPr>
          <w:jc w:val="center"/>
        </w:trPr>
        <w:tc>
          <w:tcPr>
            <w:tcW w:w="1614" w:type="dxa"/>
          </w:tcPr>
          <w:p w14:paraId="2EB27C41" w14:textId="77777777" w:rsidR="00250E63" w:rsidRDefault="00324BF8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10558D0D" w14:textId="77777777" w:rsidR="00250E63" w:rsidRDefault="00324BF8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05385626" w14:textId="74069544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1.能完成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个</w:t>
            </w:r>
            <w:r w:rsidR="00995145">
              <w:rPr>
                <w:rFonts w:hint="eastAsia"/>
                <w:sz w:val="21"/>
                <w:szCs w:val="21"/>
              </w:rPr>
              <w:t>案例分析</w:t>
            </w:r>
            <w:r>
              <w:rPr>
                <w:rFonts w:hint="eastAsia"/>
                <w:sz w:val="21"/>
                <w:szCs w:val="21"/>
              </w:rPr>
              <w:t>，并提交相关资料。</w:t>
            </w:r>
          </w:p>
          <w:p w14:paraId="5D4D9A83" w14:textId="0D856F91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2.参与课堂讨论，回答问题的次数在全班前</w:t>
            </w:r>
            <w:r>
              <w:rPr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  <w:p w14:paraId="5E06603D" w14:textId="368380EA" w:rsidR="00250E63" w:rsidRDefault="00324BF8" w:rsidP="004F068E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3.旷课2次</w:t>
            </w:r>
          </w:p>
        </w:tc>
      </w:tr>
      <w:tr w:rsidR="00250E63" w14:paraId="7817E677" w14:textId="77777777">
        <w:trPr>
          <w:jc w:val="center"/>
        </w:trPr>
        <w:tc>
          <w:tcPr>
            <w:tcW w:w="1614" w:type="dxa"/>
          </w:tcPr>
          <w:p w14:paraId="5E15525E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7305D063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749D5B35" w14:textId="519A0F5C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1.能完成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个</w:t>
            </w:r>
            <w:r w:rsidR="00995145">
              <w:rPr>
                <w:rFonts w:hint="eastAsia"/>
                <w:sz w:val="21"/>
                <w:szCs w:val="21"/>
              </w:rPr>
              <w:t>案例分析</w:t>
            </w:r>
            <w:r>
              <w:rPr>
                <w:rFonts w:hint="eastAsia"/>
                <w:sz w:val="21"/>
                <w:szCs w:val="21"/>
              </w:rPr>
              <w:t>，并提交相关资料。</w:t>
            </w:r>
          </w:p>
          <w:p w14:paraId="53C0EDB9" w14:textId="09456A36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2.参与课堂讨论。</w:t>
            </w:r>
          </w:p>
          <w:p w14:paraId="1043120B" w14:textId="5315BB75" w:rsidR="00250E63" w:rsidRDefault="00324BF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3.旷课3次</w:t>
            </w:r>
          </w:p>
        </w:tc>
      </w:tr>
      <w:tr w:rsidR="00250E63" w14:paraId="315743FB" w14:textId="77777777">
        <w:trPr>
          <w:jc w:val="center"/>
        </w:trPr>
        <w:tc>
          <w:tcPr>
            <w:tcW w:w="1614" w:type="dxa"/>
          </w:tcPr>
          <w:p w14:paraId="47F16575" w14:textId="77777777" w:rsidR="00250E63" w:rsidRDefault="00324BF8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 w14:paraId="12CE07A8" w14:textId="77777777" w:rsidR="00250E63" w:rsidRDefault="00324BF8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1AB1F6D9" w14:textId="66BCE87F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1.1个</w:t>
            </w:r>
            <w:r w:rsidR="00995145">
              <w:rPr>
                <w:rFonts w:hint="eastAsia"/>
                <w:sz w:val="21"/>
                <w:szCs w:val="21"/>
              </w:rPr>
              <w:t>案例分析</w:t>
            </w:r>
            <w:r>
              <w:rPr>
                <w:rFonts w:hint="eastAsia"/>
                <w:sz w:val="21"/>
                <w:szCs w:val="21"/>
              </w:rPr>
              <w:t>都没有完成。</w:t>
            </w:r>
          </w:p>
          <w:p w14:paraId="38579256" w14:textId="47085C9A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2.完全不参与课堂讨论。</w:t>
            </w:r>
          </w:p>
          <w:p w14:paraId="42577CB0" w14:textId="12916499" w:rsidR="00250E63" w:rsidRDefault="00324BF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3.旷课4次</w:t>
            </w:r>
            <w:r w:rsidR="009267C2">
              <w:rPr>
                <w:rFonts w:hint="eastAsia"/>
                <w:sz w:val="21"/>
                <w:szCs w:val="21"/>
              </w:rPr>
              <w:t>及以上</w:t>
            </w:r>
          </w:p>
        </w:tc>
      </w:tr>
    </w:tbl>
    <w:p w14:paraId="1E359A0E" w14:textId="77777777" w:rsidR="008D78ED" w:rsidRDefault="008D78E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</w:p>
    <w:p w14:paraId="467F1945" w14:textId="70C461F0" w:rsidR="004F068E" w:rsidRPr="00FD1AFC" w:rsidRDefault="00324BF8" w:rsidP="004F06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2.期末考</w:t>
      </w:r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查</w:t>
      </w:r>
      <w:r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（占总成绩的60%）：采用</w:t>
      </w:r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课程</w:t>
      </w:r>
      <w:r w:rsidR="00FD1AFC">
        <w:rPr>
          <w:rFonts w:asciiTheme="minorEastAsia" w:eastAsiaTheme="minorEastAsia" w:hAnsiTheme="minorEastAsia" w:cs="Times New Roman" w:hint="eastAsia"/>
          <w:sz w:val="21"/>
          <w:szCs w:val="21"/>
        </w:rPr>
        <w:t>论文</w:t>
      </w:r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的方式，要求学生</w:t>
      </w:r>
      <w:r w:rsidR="007071D1">
        <w:rPr>
          <w:rFonts w:asciiTheme="minorEastAsia" w:eastAsiaTheme="minorEastAsia" w:hAnsiTheme="minorEastAsia" w:cs="Times New Roman" w:hint="eastAsia"/>
          <w:sz w:val="21"/>
          <w:szCs w:val="21"/>
        </w:rPr>
        <w:t>结合</w:t>
      </w:r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所学</w:t>
      </w:r>
      <w:r w:rsidR="00FD1AFC">
        <w:rPr>
          <w:rFonts w:asciiTheme="minorEastAsia" w:eastAsiaTheme="minorEastAsia" w:hAnsiTheme="minorEastAsia" w:cs="Times New Roman" w:hint="eastAsia"/>
          <w:sz w:val="21"/>
          <w:szCs w:val="21"/>
        </w:rPr>
        <w:t>商务谈判</w:t>
      </w:r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相关知识对某</w:t>
      </w:r>
      <w:proofErr w:type="gramStart"/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一</w:t>
      </w:r>
      <w:r w:rsidR="00FD1AFC">
        <w:rPr>
          <w:rFonts w:asciiTheme="minorEastAsia" w:eastAsiaTheme="minorEastAsia" w:hAnsiTheme="minorEastAsia" w:cs="Times New Roman" w:hint="eastAsia"/>
          <w:sz w:val="21"/>
          <w:szCs w:val="21"/>
        </w:rPr>
        <w:t>谈判</w:t>
      </w:r>
      <w:proofErr w:type="gramEnd"/>
      <w:r w:rsidR="00FD1AFC">
        <w:rPr>
          <w:rFonts w:asciiTheme="minorEastAsia" w:eastAsiaTheme="minorEastAsia" w:hAnsiTheme="minorEastAsia" w:cs="Times New Roman" w:hint="eastAsia"/>
          <w:sz w:val="21"/>
          <w:szCs w:val="21"/>
        </w:rPr>
        <w:t>案例</w:t>
      </w:r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proofErr w:type="gramStart"/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可学生</w:t>
      </w:r>
      <w:proofErr w:type="gramEnd"/>
      <w:r w:rsidR="004F068E" w:rsidRPr="00FD1AFC">
        <w:rPr>
          <w:rFonts w:asciiTheme="minorEastAsia" w:eastAsiaTheme="minorEastAsia" w:hAnsiTheme="minorEastAsia" w:cs="Times New Roman" w:hint="eastAsia"/>
          <w:sz w:val="21"/>
          <w:szCs w:val="21"/>
        </w:rPr>
        <w:t>自选，也可由任课教师指定）进行分析。</w:t>
      </w:r>
    </w:p>
    <w:tbl>
      <w:tblPr>
        <w:tblStyle w:val="10"/>
        <w:tblpPr w:leftFromText="180" w:rightFromText="180" w:vertAnchor="text" w:tblpY="1"/>
        <w:tblOverlap w:val="never"/>
        <w:tblW w:w="4964" w:type="pct"/>
        <w:tblLook w:val="04A0" w:firstRow="1" w:lastRow="0" w:firstColumn="1" w:lastColumn="0" w:noHBand="0" w:noVBand="1"/>
      </w:tblPr>
      <w:tblGrid>
        <w:gridCol w:w="1527"/>
        <w:gridCol w:w="1699"/>
        <w:gridCol w:w="1843"/>
        <w:gridCol w:w="1986"/>
        <w:gridCol w:w="1842"/>
      </w:tblGrid>
      <w:tr w:rsidR="00B5700E" w:rsidRPr="00FD1AFC" w14:paraId="3050269E" w14:textId="77777777" w:rsidTr="00B5700E">
        <w:trPr>
          <w:trHeight w:val="423"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93413" w14:textId="77777777" w:rsidR="001C03B6" w:rsidRPr="00FD1AFC" w:rsidRDefault="001C03B6" w:rsidP="00E956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lastRenderedPageBreak/>
              <w:t>标准</w:t>
            </w:r>
          </w:p>
        </w:tc>
        <w:tc>
          <w:tcPr>
            <w:tcW w:w="955" w:type="pct"/>
            <w:tcBorders>
              <w:top w:val="single" w:sz="12" w:space="0" w:color="auto"/>
            </w:tcBorders>
            <w:vAlign w:val="center"/>
          </w:tcPr>
          <w:p w14:paraId="374F85BC" w14:textId="0CADF4DC" w:rsidR="001C03B6" w:rsidRPr="00FD1AFC" w:rsidRDefault="001C03B6" w:rsidP="00E956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选题</w:t>
            </w:r>
          </w:p>
        </w:tc>
        <w:tc>
          <w:tcPr>
            <w:tcW w:w="1036" w:type="pct"/>
            <w:tcBorders>
              <w:top w:val="single" w:sz="12" w:space="0" w:color="auto"/>
            </w:tcBorders>
            <w:vAlign w:val="center"/>
          </w:tcPr>
          <w:p w14:paraId="526E7F49" w14:textId="77777777" w:rsidR="001C03B6" w:rsidRPr="00FD1AFC" w:rsidRDefault="001C03B6" w:rsidP="00E956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结构</w:t>
            </w:r>
          </w:p>
        </w:tc>
        <w:tc>
          <w:tcPr>
            <w:tcW w:w="1116" w:type="pct"/>
            <w:tcBorders>
              <w:top w:val="single" w:sz="12" w:space="0" w:color="auto"/>
            </w:tcBorders>
            <w:vAlign w:val="center"/>
          </w:tcPr>
          <w:p w14:paraId="7415E4AA" w14:textId="767A75B5" w:rsidR="001C03B6" w:rsidRPr="00FD1AFC" w:rsidRDefault="001C03B6" w:rsidP="00E956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内容</w:t>
            </w:r>
          </w:p>
        </w:tc>
        <w:tc>
          <w:tcPr>
            <w:tcW w:w="1036" w:type="pct"/>
            <w:tcBorders>
              <w:top w:val="single" w:sz="12" w:space="0" w:color="auto"/>
            </w:tcBorders>
            <w:vAlign w:val="center"/>
          </w:tcPr>
          <w:p w14:paraId="06F24319" w14:textId="77777777" w:rsidR="001C03B6" w:rsidRPr="00FD1AFC" w:rsidRDefault="001C03B6" w:rsidP="00E956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格式</w:t>
            </w:r>
          </w:p>
        </w:tc>
      </w:tr>
      <w:tr w:rsidR="00B5700E" w:rsidRPr="00FD1AFC" w14:paraId="1808BDAB" w14:textId="77777777" w:rsidTr="00B5700E">
        <w:trPr>
          <w:trHeight w:val="749"/>
        </w:trPr>
        <w:tc>
          <w:tcPr>
            <w:tcW w:w="85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657CA" w14:textId="77777777" w:rsidR="001C03B6" w:rsidRPr="00FD1AFC" w:rsidRDefault="001C03B6" w:rsidP="00E9562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优秀</w:t>
            </w:r>
          </w:p>
          <w:p w14:paraId="58C2926F" w14:textId="77777777" w:rsidR="001C03B6" w:rsidRPr="00FD1AFC" w:rsidRDefault="001C03B6" w:rsidP="00E9562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（90～100分）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3B78930D" w14:textId="61140C4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选题前沿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6C3C8D4B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结构清晰、完整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vAlign w:val="center"/>
          </w:tcPr>
          <w:p w14:paraId="6A057074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语言生动、行文规范、表达简洁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6DB7F5DE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格式正确、美观</w:t>
            </w:r>
          </w:p>
        </w:tc>
      </w:tr>
      <w:tr w:rsidR="00B5700E" w:rsidRPr="00FD1AFC" w14:paraId="4D8176A0" w14:textId="77777777" w:rsidTr="00B5700E">
        <w:trPr>
          <w:trHeight w:val="749"/>
        </w:trPr>
        <w:tc>
          <w:tcPr>
            <w:tcW w:w="85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610A03" w14:textId="77777777" w:rsidR="001C03B6" w:rsidRPr="00FD1AFC" w:rsidRDefault="001C03B6" w:rsidP="00E9562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良好</w:t>
            </w:r>
          </w:p>
          <w:p w14:paraId="7FC9D41A" w14:textId="510B4BFE" w:rsidR="00E95627" w:rsidRPr="00E95627" w:rsidRDefault="001C03B6" w:rsidP="00E9562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（80～89分）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7CDAE06E" w14:textId="37C88A20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选题</w:t>
            </w:r>
            <w:r w:rsidRPr="00FD1AFC">
              <w:rPr>
                <w:rFonts w:hint="eastAsia"/>
                <w:color w:val="333333"/>
                <w:sz w:val="21"/>
                <w:szCs w:val="21"/>
              </w:rPr>
              <w:t>具有一定的代表性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1327D2DA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论文结构比较清晰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vAlign w:val="center"/>
          </w:tcPr>
          <w:p w14:paraId="79D0A898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语言文字规范、准确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14:paraId="54E0C049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格式规范</w:t>
            </w:r>
          </w:p>
        </w:tc>
      </w:tr>
      <w:tr w:rsidR="00B5700E" w:rsidRPr="00FD1AFC" w14:paraId="72744261" w14:textId="77777777" w:rsidTr="00B5700E">
        <w:trPr>
          <w:trHeight w:val="416"/>
        </w:trPr>
        <w:tc>
          <w:tcPr>
            <w:tcW w:w="85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0C9A3" w14:textId="77777777" w:rsidR="001C03B6" w:rsidRPr="00FD1AFC" w:rsidRDefault="001C03B6" w:rsidP="00E95627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中等</w:t>
            </w:r>
          </w:p>
          <w:p w14:paraId="6B347988" w14:textId="77777777" w:rsidR="001C03B6" w:rsidRPr="00FD1AFC" w:rsidRDefault="001C03B6" w:rsidP="00E9562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（70～79分）</w:t>
            </w: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14:paraId="57275868" w14:textId="23BA8D3B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选题</w:t>
            </w:r>
            <w:r w:rsidRPr="00FD1AFC">
              <w:rPr>
                <w:rFonts w:hint="eastAsia"/>
                <w:color w:val="333333"/>
                <w:sz w:val="21"/>
                <w:szCs w:val="21"/>
              </w:rPr>
              <w:t>选择符合要求</w:t>
            </w:r>
          </w:p>
        </w:tc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14:paraId="359DBB68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能按照论文结构撰写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vAlign w:val="center"/>
          </w:tcPr>
          <w:p w14:paraId="7F2B491D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语言较通顺，有错别字</w:t>
            </w:r>
          </w:p>
        </w:tc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14:paraId="3AA0D08D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有少量格式错误</w:t>
            </w:r>
          </w:p>
        </w:tc>
      </w:tr>
      <w:tr w:rsidR="00B5700E" w:rsidRPr="00FD1AFC" w14:paraId="7E93E51C" w14:textId="77777777" w:rsidTr="00B5700E">
        <w:trPr>
          <w:trHeight w:val="749"/>
        </w:trPr>
        <w:tc>
          <w:tcPr>
            <w:tcW w:w="858" w:type="pct"/>
            <w:tcBorders>
              <w:left w:val="single" w:sz="12" w:space="0" w:color="auto"/>
            </w:tcBorders>
            <w:vAlign w:val="center"/>
          </w:tcPr>
          <w:p w14:paraId="71237E7E" w14:textId="77777777" w:rsidR="001C03B6" w:rsidRPr="00FD1AFC" w:rsidRDefault="001C03B6" w:rsidP="00E9562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及格</w:t>
            </w:r>
          </w:p>
          <w:p w14:paraId="79B8A054" w14:textId="77777777" w:rsidR="001C03B6" w:rsidRPr="00FD1AFC" w:rsidRDefault="001C03B6" w:rsidP="00E9562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（60～69分）</w:t>
            </w:r>
          </w:p>
        </w:tc>
        <w:tc>
          <w:tcPr>
            <w:tcW w:w="955" w:type="pct"/>
            <w:vAlign w:val="center"/>
          </w:tcPr>
          <w:p w14:paraId="3AEBC0C2" w14:textId="30933159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选题</w:t>
            </w:r>
            <w:r w:rsidRPr="00FD1AFC">
              <w:rPr>
                <w:rFonts w:hint="eastAsia"/>
                <w:color w:val="333333"/>
                <w:sz w:val="21"/>
                <w:szCs w:val="21"/>
              </w:rPr>
              <w:t>范围过大</w:t>
            </w:r>
          </w:p>
        </w:tc>
        <w:tc>
          <w:tcPr>
            <w:tcW w:w="1036" w:type="pct"/>
            <w:vAlign w:val="center"/>
          </w:tcPr>
          <w:p w14:paraId="0567F243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论文结构框架基本符合要求</w:t>
            </w:r>
          </w:p>
        </w:tc>
        <w:tc>
          <w:tcPr>
            <w:tcW w:w="1116" w:type="pct"/>
            <w:vAlign w:val="center"/>
          </w:tcPr>
          <w:p w14:paraId="7FC59A06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有少量行文和表达错误</w:t>
            </w:r>
          </w:p>
        </w:tc>
        <w:tc>
          <w:tcPr>
            <w:tcW w:w="1036" w:type="pct"/>
            <w:vAlign w:val="center"/>
          </w:tcPr>
          <w:p w14:paraId="5AB2E664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格式不规范，需要大幅修改</w:t>
            </w:r>
          </w:p>
        </w:tc>
      </w:tr>
      <w:tr w:rsidR="00B5700E" w14:paraId="6C99F376" w14:textId="77777777" w:rsidTr="00B5700E">
        <w:trPr>
          <w:trHeight w:val="749"/>
        </w:trPr>
        <w:tc>
          <w:tcPr>
            <w:tcW w:w="8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96F37" w14:textId="77777777" w:rsidR="001C03B6" w:rsidRPr="00FD1AFC" w:rsidRDefault="001C03B6" w:rsidP="00E95627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不及格</w:t>
            </w:r>
          </w:p>
          <w:p w14:paraId="6CBC5730" w14:textId="77777777" w:rsidR="001C03B6" w:rsidRPr="00FD1AFC" w:rsidRDefault="001C03B6" w:rsidP="00E9562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FD1AFC">
              <w:rPr>
                <w:sz w:val="21"/>
                <w:szCs w:val="21"/>
              </w:rPr>
              <w:t>（60以下）</w:t>
            </w:r>
          </w:p>
        </w:tc>
        <w:tc>
          <w:tcPr>
            <w:tcW w:w="955" w:type="pct"/>
            <w:tcBorders>
              <w:bottom w:val="single" w:sz="12" w:space="0" w:color="auto"/>
            </w:tcBorders>
            <w:vAlign w:val="center"/>
          </w:tcPr>
          <w:p w14:paraId="1069ADD9" w14:textId="11D1A46B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选题与课程无关</w:t>
            </w:r>
          </w:p>
        </w:tc>
        <w:tc>
          <w:tcPr>
            <w:tcW w:w="1036" w:type="pct"/>
            <w:tcBorders>
              <w:bottom w:val="single" w:sz="12" w:space="0" w:color="auto"/>
            </w:tcBorders>
            <w:vAlign w:val="center"/>
          </w:tcPr>
          <w:p w14:paraId="5FC59777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结构有逻辑错误</w:t>
            </w:r>
          </w:p>
        </w:tc>
        <w:tc>
          <w:tcPr>
            <w:tcW w:w="1116" w:type="pct"/>
            <w:tcBorders>
              <w:bottom w:val="single" w:sz="12" w:space="0" w:color="auto"/>
            </w:tcBorders>
            <w:vAlign w:val="center"/>
          </w:tcPr>
          <w:p w14:paraId="3A5097EF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语言严重不通畅，严重影响意思表达</w:t>
            </w:r>
          </w:p>
        </w:tc>
        <w:tc>
          <w:tcPr>
            <w:tcW w:w="1036" w:type="pct"/>
            <w:tcBorders>
              <w:bottom w:val="single" w:sz="12" w:space="0" w:color="auto"/>
            </w:tcBorders>
            <w:vAlign w:val="center"/>
          </w:tcPr>
          <w:p w14:paraId="40E16E49" w14:textId="77777777" w:rsidR="001C03B6" w:rsidRPr="00FD1AFC" w:rsidRDefault="001C03B6" w:rsidP="00E95627">
            <w:pPr>
              <w:spacing w:line="376" w:lineRule="exact"/>
              <w:rPr>
                <w:color w:val="333333"/>
                <w:sz w:val="21"/>
                <w:szCs w:val="21"/>
              </w:rPr>
            </w:pPr>
            <w:r w:rsidRPr="00FD1AFC">
              <w:rPr>
                <w:rFonts w:hint="eastAsia"/>
                <w:color w:val="333333"/>
                <w:sz w:val="21"/>
                <w:szCs w:val="21"/>
              </w:rPr>
              <w:t>格式混乱</w:t>
            </w:r>
          </w:p>
        </w:tc>
      </w:tr>
    </w:tbl>
    <w:p w14:paraId="1DBAFF9B" w14:textId="2875FA2D" w:rsidR="00250E63" w:rsidRPr="004F068E" w:rsidRDefault="00E95627">
      <w:pPr>
        <w:ind w:left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br w:type="textWrapping" w:clear="all"/>
      </w:r>
    </w:p>
    <w:p w14:paraId="29EC8E9D" w14:textId="77777777" w:rsidR="00250E63" w:rsidRDefault="00324BF8">
      <w:pPr>
        <w:pStyle w:val="af4"/>
        <w:numPr>
          <w:ilvl w:val="0"/>
          <w:numId w:val="1"/>
        </w:numPr>
        <w:ind w:firstLineChars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教学安排及要求</w:t>
      </w:r>
    </w:p>
    <w:tbl>
      <w:tblPr>
        <w:tblStyle w:val="af1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1725"/>
        <w:gridCol w:w="6328"/>
      </w:tblGrid>
      <w:tr w:rsidR="00250E63" w14:paraId="1E1EFC19" w14:textId="77777777">
        <w:trPr>
          <w:trHeight w:val="416"/>
        </w:trPr>
        <w:tc>
          <w:tcPr>
            <w:tcW w:w="844" w:type="dxa"/>
            <w:vAlign w:val="center"/>
          </w:tcPr>
          <w:p w14:paraId="7327E470" w14:textId="77777777" w:rsidR="00250E63" w:rsidRDefault="00324BF8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14:paraId="5C73A0DC" w14:textId="77777777" w:rsidR="00250E63" w:rsidRDefault="00324BF8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 w14:paraId="5AEF01A5" w14:textId="77777777" w:rsidR="00250E63" w:rsidRDefault="00324BF8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要    求</w:t>
            </w:r>
          </w:p>
        </w:tc>
      </w:tr>
      <w:tr w:rsidR="00250E63" w14:paraId="1D1814E8" w14:textId="77777777">
        <w:tc>
          <w:tcPr>
            <w:tcW w:w="844" w:type="dxa"/>
            <w:vAlign w:val="center"/>
          </w:tcPr>
          <w:p w14:paraId="25BA06CD" w14:textId="77777777" w:rsidR="00250E63" w:rsidRDefault="00324BF8">
            <w:pPr>
              <w:snapToGrid w:val="0"/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14:paraId="6CA3B765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 w14:paraId="5FBF7E1F" w14:textId="138CADAD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</w:t>
            </w:r>
            <w:r w:rsidR="00CA465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助教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        学历（位）：硕士及以上</w:t>
            </w:r>
          </w:p>
          <w:p w14:paraId="505662C6" w14:textId="19926401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其他：</w:t>
            </w:r>
            <w:r w:rsidR="00CA465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具有</w:t>
            </w:r>
            <w:r w:rsidR="002D264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商务谈判</w:t>
            </w:r>
            <w:r w:rsidR="00CA465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相关经历</w:t>
            </w:r>
          </w:p>
        </w:tc>
      </w:tr>
      <w:tr w:rsidR="00250E63" w14:paraId="1F0024F4" w14:textId="77777777">
        <w:tc>
          <w:tcPr>
            <w:tcW w:w="844" w:type="dxa"/>
            <w:vAlign w:val="center"/>
          </w:tcPr>
          <w:p w14:paraId="3FE6CCFE" w14:textId="77777777" w:rsidR="00250E63" w:rsidRDefault="00324B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14:paraId="1452F568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 w14:paraId="4D9D550C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周次：1-16周     </w:t>
            </w:r>
          </w:p>
          <w:p w14:paraId="27D48507" w14:textId="70143296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节次：</w:t>
            </w:r>
            <w:r w:rsidR="00CA465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节/周</w:t>
            </w:r>
          </w:p>
        </w:tc>
      </w:tr>
      <w:tr w:rsidR="00250E63" w14:paraId="2D92E7C0" w14:textId="77777777">
        <w:tc>
          <w:tcPr>
            <w:tcW w:w="844" w:type="dxa"/>
            <w:vAlign w:val="center"/>
          </w:tcPr>
          <w:p w14:paraId="63965C16" w14:textId="77777777" w:rsidR="00250E63" w:rsidRDefault="00324B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14:paraId="1A57A1B8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 w14:paraId="2EE3CEA3" w14:textId="1C6E6E74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eq \o\ac(□,</w:instrText>
            </w:r>
            <w:r>
              <w:rPr>
                <w:rFonts w:eastAsiaTheme="minorEastAsia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教室         </w:t>
            </w:r>
            <w:r w:rsidR="00CD5AC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实验室       □室外场地  </w:t>
            </w:r>
          </w:p>
          <w:p w14:paraId="747AFEEE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□其他：</w:t>
            </w:r>
          </w:p>
        </w:tc>
      </w:tr>
      <w:tr w:rsidR="00250E63" w14:paraId="69B1544D" w14:textId="77777777">
        <w:tc>
          <w:tcPr>
            <w:tcW w:w="844" w:type="dxa"/>
            <w:vAlign w:val="center"/>
          </w:tcPr>
          <w:p w14:paraId="77D16AD1" w14:textId="77777777" w:rsidR="00250E63" w:rsidRDefault="00324B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14:paraId="37FBCB5D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 w14:paraId="51B576F1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及时间安排：企业微信，一周一次</w:t>
            </w:r>
          </w:p>
          <w:p w14:paraId="39A0D252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线下地点及时间安排：授课教室，上课前后</w:t>
            </w:r>
          </w:p>
        </w:tc>
      </w:tr>
    </w:tbl>
    <w:p w14:paraId="273AAE3E" w14:textId="1AABFB11" w:rsidR="00250E63" w:rsidRDefault="00324BF8" w:rsidP="00FE72F6">
      <w:pPr>
        <w:ind w:firstLineChars="150" w:firstLine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 xml:space="preserve"> </w:t>
      </w:r>
    </w:p>
    <w:p w14:paraId="44A25DA6" w14:textId="77777777" w:rsidR="00540797" w:rsidRDefault="00540797">
      <w:pPr>
        <w:ind w:firstLineChars="150" w:firstLine="422"/>
        <w:rPr>
          <w:rFonts w:ascii="Times New Roman" w:cs="Times New Roman"/>
          <w:b/>
          <w:sz w:val="28"/>
          <w:szCs w:val="28"/>
        </w:rPr>
      </w:pPr>
    </w:p>
    <w:p w14:paraId="113B4336" w14:textId="77777777" w:rsidR="00250E63" w:rsidRDefault="00324BF8">
      <w:pPr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七、选用教材</w:t>
      </w:r>
    </w:p>
    <w:p w14:paraId="298E3B6C" w14:textId="35AD16F8" w:rsidR="00250E63" w:rsidRDefault="00324BF8" w:rsidP="004639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[1] </w:t>
      </w:r>
      <w:proofErr w:type="gramStart"/>
      <w:r w:rsidR="007547C5">
        <w:rPr>
          <w:rFonts w:asciiTheme="minorEastAsia" w:eastAsiaTheme="minorEastAsia" w:hAnsiTheme="minorEastAsia" w:cs="Times New Roman" w:hint="eastAsia"/>
          <w:sz w:val="21"/>
          <w:szCs w:val="21"/>
        </w:rPr>
        <w:t>白远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7547C5" w:rsidRPr="007547C5">
        <w:rPr>
          <w:rFonts w:hint="eastAsia"/>
        </w:rPr>
        <w:t xml:space="preserve"> </w:t>
      </w:r>
      <w:r w:rsidR="007547C5" w:rsidRPr="007547C5">
        <w:rPr>
          <w:rFonts w:asciiTheme="minorEastAsia" w:eastAsiaTheme="minorEastAsia" w:hAnsiTheme="minorEastAsia" w:cs="Times New Roman" w:hint="eastAsia"/>
          <w:sz w:val="21"/>
          <w:szCs w:val="21"/>
        </w:rPr>
        <w:t>国际商务谈判理论、案例分析与实践</w:t>
      </w:r>
      <w:r w:rsidR="0024779B">
        <w:rPr>
          <w:rFonts w:asciiTheme="minorEastAsia" w:eastAsiaTheme="minorEastAsia" w:hAnsiTheme="minorEastAsia" w:cs="Times New Roman" w:hint="eastAsia"/>
          <w:sz w:val="21"/>
          <w:szCs w:val="21"/>
        </w:rPr>
        <w:t>（第5版）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[M].北京：</w:t>
      </w:r>
      <w:r w:rsidR="007547C5">
        <w:rPr>
          <w:rFonts w:asciiTheme="minorEastAsia" w:eastAsiaTheme="minorEastAsia" w:hAnsiTheme="minorEastAsia" w:cs="Times New Roman" w:hint="eastAsia"/>
          <w:sz w:val="21"/>
          <w:szCs w:val="21"/>
        </w:rPr>
        <w:t>中国人民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大学出版社，201</w:t>
      </w:r>
      <w:r w:rsidR="007547C5">
        <w:rPr>
          <w:rFonts w:asciiTheme="minorEastAsia" w:eastAsiaTheme="minorEastAsia" w:hAnsiTheme="minorEastAsia" w:cs="Times New Roman"/>
          <w:sz w:val="21"/>
          <w:szCs w:val="21"/>
        </w:rPr>
        <w:t>9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7547C5">
        <w:rPr>
          <w:rFonts w:asciiTheme="minorEastAsia" w:eastAsiaTheme="minorEastAsia" w:hAnsiTheme="minorEastAsia" w:cs="Times New Roman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508A58AE" w14:textId="35E93C8E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[2] </w:t>
      </w:r>
      <w:r w:rsidR="008C78D1" w:rsidRPr="008C78D1">
        <w:rPr>
          <w:rFonts w:asciiTheme="minorEastAsia" w:eastAsiaTheme="minorEastAsia" w:hAnsiTheme="minorEastAsia" w:cs="Times New Roman" w:hint="eastAsia"/>
          <w:sz w:val="21"/>
          <w:szCs w:val="21"/>
        </w:rPr>
        <w:t>罗伊•列维奇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7547C5" w:rsidRPr="007547C5">
        <w:rPr>
          <w:rFonts w:asciiTheme="minorEastAsia" w:eastAsiaTheme="minorEastAsia" w:hAnsiTheme="minorEastAsia" w:cs="Times New Roman" w:hint="eastAsia"/>
          <w:sz w:val="21"/>
          <w:szCs w:val="21"/>
        </w:rPr>
        <w:t>商务谈判（第</w:t>
      </w:r>
      <w:r w:rsidR="007547C5" w:rsidRPr="007547C5">
        <w:rPr>
          <w:rFonts w:asciiTheme="minorEastAsia" w:eastAsiaTheme="minorEastAsia" w:hAnsiTheme="minorEastAsia" w:cs="Times New Roman"/>
          <w:sz w:val="21"/>
          <w:szCs w:val="21"/>
        </w:rPr>
        <w:t>8版）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</w:t>
      </w:r>
      <w:r w:rsidR="00197E45">
        <w:rPr>
          <w:rFonts w:asciiTheme="minorEastAsia" w:eastAsiaTheme="minorEastAsia" w:hAnsiTheme="minorEastAsia" w:cs="Times New Roman" w:hint="eastAsia"/>
          <w:sz w:val="21"/>
          <w:szCs w:val="21"/>
        </w:rPr>
        <w:t>北京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：</w:t>
      </w:r>
      <w:r w:rsidR="00197E45" w:rsidRPr="00197E45">
        <w:rPr>
          <w:rFonts w:asciiTheme="minorEastAsia" w:eastAsiaTheme="minorEastAsia" w:hAnsiTheme="minorEastAsia" w:cs="Times New Roman" w:hint="eastAsia"/>
          <w:sz w:val="21"/>
          <w:szCs w:val="21"/>
        </w:rPr>
        <w:t>中国人民大学出版社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，20</w:t>
      </w:r>
      <w:r w:rsidR="00197E45">
        <w:rPr>
          <w:rFonts w:asciiTheme="minorEastAsia" w:eastAsiaTheme="minorEastAsia" w:hAnsiTheme="minorEastAsia" w:cs="Times New Roman"/>
          <w:sz w:val="21"/>
          <w:szCs w:val="21"/>
        </w:rPr>
        <w:t>21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197E45">
        <w:rPr>
          <w:rFonts w:asciiTheme="minorEastAsia" w:eastAsiaTheme="minorEastAsia" w:hAnsiTheme="minorEastAsia" w:cs="Times New Roman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45208A9B" w14:textId="77777777" w:rsidR="00250E63" w:rsidRDefault="00250E63">
      <w:pPr>
        <w:ind w:firstLineChars="150" w:firstLine="422"/>
        <w:rPr>
          <w:rFonts w:ascii="Times New Roman" w:cs="Times New Roman"/>
          <w:b/>
          <w:sz w:val="28"/>
          <w:szCs w:val="28"/>
        </w:rPr>
      </w:pPr>
    </w:p>
    <w:p w14:paraId="0C722704" w14:textId="77777777" w:rsidR="00250E63" w:rsidRDefault="00324BF8">
      <w:pPr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八、参考资料</w:t>
      </w:r>
    </w:p>
    <w:p w14:paraId="124F7B9A" w14:textId="0876E37B" w:rsidR="00250E63" w:rsidRDefault="00324BF8" w:rsidP="004639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</w:t>
      </w:r>
      <w:r w:rsidR="008C78D1" w:rsidRPr="008C78D1">
        <w:rPr>
          <w:rFonts w:asciiTheme="minorEastAsia" w:eastAsiaTheme="minorEastAsia" w:hAnsiTheme="minorEastAsia" w:cs="Times New Roman" w:hint="eastAsia"/>
          <w:sz w:val="21"/>
          <w:szCs w:val="21"/>
        </w:rPr>
        <w:t>景楠</w:t>
      </w:r>
      <w:r w:rsidR="008C78D1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="008C78D1" w:rsidRPr="008C78D1">
        <w:rPr>
          <w:rFonts w:asciiTheme="minorEastAsia" w:eastAsiaTheme="minorEastAsia" w:hAnsiTheme="minorEastAsia" w:cs="Times New Roman" w:hint="eastAsia"/>
          <w:sz w:val="21"/>
          <w:szCs w:val="21"/>
        </w:rPr>
        <w:t>张宇珩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8C78D1" w:rsidRPr="008C78D1">
        <w:rPr>
          <w:rFonts w:asciiTheme="minorEastAsia" w:eastAsiaTheme="minorEastAsia" w:hAnsiTheme="minorEastAsia" w:cs="Times New Roman" w:hint="eastAsia"/>
          <w:sz w:val="21"/>
          <w:szCs w:val="21"/>
        </w:rPr>
        <w:t>国际商务谈判（英文版）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</w:t>
      </w:r>
      <w:r w:rsidR="006C53D0">
        <w:rPr>
          <w:rFonts w:asciiTheme="minorEastAsia" w:eastAsiaTheme="minorEastAsia" w:hAnsiTheme="minorEastAsia" w:cs="Times New Roman" w:hint="eastAsia"/>
          <w:sz w:val="21"/>
          <w:szCs w:val="21"/>
        </w:rPr>
        <w:t>北京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：</w:t>
      </w:r>
      <w:r w:rsidR="008C78D1" w:rsidRPr="008C78D1">
        <w:rPr>
          <w:rFonts w:asciiTheme="minorEastAsia" w:eastAsiaTheme="minorEastAsia" w:hAnsiTheme="minorEastAsia" w:cs="Times New Roman" w:hint="eastAsia"/>
          <w:sz w:val="21"/>
          <w:szCs w:val="21"/>
        </w:rPr>
        <w:t>北京大学出版社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，20</w:t>
      </w:r>
      <w:r w:rsidR="006C53D0">
        <w:rPr>
          <w:rFonts w:asciiTheme="minorEastAsia" w:eastAsiaTheme="minorEastAsia" w:hAnsiTheme="minorEastAsia" w:cs="Times New Roman"/>
          <w:sz w:val="21"/>
          <w:szCs w:val="21"/>
        </w:rPr>
        <w:t>2</w:t>
      </w:r>
      <w:r w:rsidR="0024779B">
        <w:rPr>
          <w:rFonts w:asciiTheme="minorEastAsia" w:eastAsiaTheme="minorEastAsia" w:hAnsiTheme="minorEastAsia" w:cs="Times New Roman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24779B">
        <w:rPr>
          <w:rFonts w:asciiTheme="minorEastAsia" w:eastAsiaTheme="minorEastAsia" w:hAnsiTheme="minorEastAsia" w:cs="Times New Roman"/>
          <w:sz w:val="21"/>
          <w:szCs w:val="21"/>
        </w:rPr>
        <w:t>8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0E4590CD" w14:textId="6C3D7E2A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</w:t>
      </w:r>
      <w:bookmarkStart w:id="0" w:name="itemlist-title"/>
      <w:r w:rsidR="0024779B" w:rsidRPr="0024779B">
        <w:rPr>
          <w:rFonts w:asciiTheme="minorEastAsia" w:eastAsiaTheme="minorEastAsia" w:hAnsiTheme="minorEastAsia" w:cs="Times New Roman" w:hint="eastAsia"/>
          <w:sz w:val="21"/>
          <w:szCs w:val="21"/>
        </w:rPr>
        <w:t>吕亮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bookmarkEnd w:id="0"/>
      <w:r w:rsidR="0024779B" w:rsidRPr="0024779B">
        <w:rPr>
          <w:rFonts w:hint="eastAsia"/>
        </w:rPr>
        <w:t xml:space="preserve"> 商务谈判实训（</w:t>
      </w:r>
      <w:r w:rsidR="0024779B" w:rsidRPr="0024779B">
        <w:t>21世纪经济管理新形态教材·工商管理系列）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[M].北京：</w:t>
      </w:r>
      <w:r w:rsidR="0024779B" w:rsidRPr="0024779B">
        <w:rPr>
          <w:rFonts w:asciiTheme="minorEastAsia" w:eastAsiaTheme="minorEastAsia" w:hAnsiTheme="minorEastAsia" w:cs="Times New Roman" w:hint="eastAsia"/>
          <w:sz w:val="21"/>
          <w:szCs w:val="21"/>
        </w:rPr>
        <w:t>清华大学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出版社，20</w:t>
      </w:r>
      <w:r w:rsidR="0024779B">
        <w:rPr>
          <w:rFonts w:asciiTheme="minorEastAsia" w:eastAsiaTheme="minorEastAsia" w:hAnsiTheme="minorEastAsia" w:cs="Times New Roman"/>
          <w:sz w:val="21"/>
          <w:szCs w:val="21"/>
        </w:rPr>
        <w:t>22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24779B">
        <w:rPr>
          <w:rFonts w:asciiTheme="minorEastAsia" w:eastAsiaTheme="minorEastAsia" w:hAnsiTheme="minorEastAsia" w:cs="Times New Roman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1DD0B163" w14:textId="5D4AB5C9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[3]</w:t>
      </w:r>
      <w:r w:rsidR="0024779B" w:rsidRPr="0024779B">
        <w:rPr>
          <w:rFonts w:asciiTheme="minorEastAsia" w:eastAsiaTheme="minorEastAsia" w:hAnsiTheme="minorEastAsia" w:cs="Times New Roman" w:hint="eastAsia"/>
          <w:sz w:val="21"/>
          <w:szCs w:val="21"/>
        </w:rPr>
        <w:t>王军旗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24779B" w:rsidRPr="0024779B">
        <w:rPr>
          <w:rFonts w:hint="eastAsia"/>
        </w:rPr>
        <w:t xml:space="preserve"> </w:t>
      </w:r>
      <w:r w:rsidR="0024779B" w:rsidRPr="0024779B">
        <w:rPr>
          <w:rFonts w:asciiTheme="minorEastAsia" w:eastAsiaTheme="minorEastAsia" w:hAnsiTheme="minorEastAsia" w:cs="Times New Roman" w:hint="eastAsia"/>
          <w:sz w:val="21"/>
          <w:szCs w:val="21"/>
        </w:rPr>
        <w:t>商务谈判：理论、技巧与案例（第</w:t>
      </w:r>
      <w:r w:rsidR="0024779B" w:rsidRPr="0024779B">
        <w:rPr>
          <w:rFonts w:asciiTheme="minorEastAsia" w:eastAsiaTheme="minorEastAsia" w:hAnsiTheme="minorEastAsia" w:cs="Times New Roman"/>
          <w:sz w:val="21"/>
          <w:szCs w:val="21"/>
        </w:rPr>
        <w:t>6版）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[M].北京：</w:t>
      </w:r>
      <w:r w:rsidR="0024779B">
        <w:rPr>
          <w:rFonts w:asciiTheme="minorEastAsia" w:eastAsiaTheme="minorEastAsia" w:hAnsiTheme="minorEastAsia" w:cs="Times New Roman" w:hint="eastAsia"/>
          <w:sz w:val="21"/>
          <w:szCs w:val="21"/>
        </w:rPr>
        <w:t>中国人民大学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出版社，20</w:t>
      </w:r>
      <w:r>
        <w:rPr>
          <w:rFonts w:asciiTheme="minorEastAsia" w:eastAsiaTheme="minorEastAsia" w:hAnsiTheme="minorEastAsia" w:cs="Times New Roman"/>
          <w:sz w:val="21"/>
          <w:szCs w:val="21"/>
        </w:rPr>
        <w:t>2</w:t>
      </w:r>
      <w:r w:rsidR="0024779B">
        <w:rPr>
          <w:rFonts w:asciiTheme="minorEastAsia" w:eastAsiaTheme="minorEastAsia" w:hAnsiTheme="minorEastAsia" w:cs="Times New Roman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24779B">
        <w:rPr>
          <w:rFonts w:asciiTheme="minorEastAsia" w:eastAsiaTheme="minorEastAsia" w:hAnsiTheme="minorEastAsia" w:cs="Times New Roman"/>
          <w:sz w:val="21"/>
          <w:szCs w:val="21"/>
        </w:rPr>
        <w:t>7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15FF3316" w14:textId="77777777" w:rsidR="00250E63" w:rsidRPr="001A075A" w:rsidRDefault="00250E63">
      <w:pPr>
        <w:spacing w:line="360" w:lineRule="auto"/>
        <w:ind w:firstLineChars="150" w:firstLine="422"/>
        <w:rPr>
          <w:rFonts w:ascii="Times New Roman" w:cs="Times New Roman"/>
          <w:b/>
          <w:sz w:val="28"/>
          <w:szCs w:val="28"/>
        </w:rPr>
      </w:pPr>
    </w:p>
    <w:p w14:paraId="7A5792C1" w14:textId="77777777" w:rsidR="00250E63" w:rsidRDefault="00324BF8">
      <w:pPr>
        <w:spacing w:line="360" w:lineRule="auto"/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lastRenderedPageBreak/>
        <w:t>网络资料</w:t>
      </w:r>
    </w:p>
    <w:p w14:paraId="0CA5E60F" w14:textId="2828AEA1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</w:t>
      </w:r>
      <w:r w:rsidR="00AE2823" w:rsidRPr="00AE2823">
        <w:rPr>
          <w:rFonts w:hint="eastAsia"/>
        </w:rPr>
        <w:t xml:space="preserve"> </w:t>
      </w:r>
      <w:r w:rsidR="00AE2823" w:rsidRPr="00AE2823">
        <w:rPr>
          <w:rFonts w:asciiTheme="minorEastAsia" w:eastAsiaTheme="minorEastAsia" w:hAnsiTheme="minorEastAsia" w:cs="Times New Roman" w:hint="eastAsia"/>
          <w:sz w:val="21"/>
          <w:szCs w:val="21"/>
        </w:rPr>
        <w:t>商务谈判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.中国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大学慕课网站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，</w:t>
      </w:r>
      <w:r>
        <w:rPr>
          <w:rFonts w:asciiTheme="minorEastAsia" w:eastAsiaTheme="minorEastAsia" w:hAnsiTheme="minorEastAsia" w:cs="Times New Roman"/>
          <w:sz w:val="21"/>
          <w:szCs w:val="21"/>
        </w:rPr>
        <w:t>https://www.icourse163.org</w:t>
      </w:r>
    </w:p>
    <w:p w14:paraId="53778F4F" w14:textId="230A3FCF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</w:t>
      </w:r>
      <w:r w:rsidR="006B6AE1" w:rsidRPr="006B6AE1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6B6AE1" w:rsidRPr="00AE2823">
        <w:rPr>
          <w:rFonts w:asciiTheme="minorEastAsia" w:eastAsiaTheme="minorEastAsia" w:hAnsiTheme="minorEastAsia" w:cs="Times New Roman" w:hint="eastAsia"/>
          <w:sz w:val="21"/>
          <w:szCs w:val="21"/>
        </w:rPr>
        <w:t>商务谈判</w:t>
      </w:r>
      <w:r w:rsidR="008970D1">
        <w:rPr>
          <w:rFonts w:asciiTheme="minorEastAsia" w:eastAsiaTheme="minorEastAsia" w:hAnsiTheme="minorEastAsia" w:cs="Times New Roman" w:hint="eastAsia"/>
          <w:sz w:val="21"/>
          <w:szCs w:val="21"/>
        </w:rPr>
        <w:t>学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540797">
        <w:rPr>
          <w:rFonts w:asciiTheme="minorEastAsia" w:eastAsiaTheme="minorEastAsia" w:hAnsiTheme="minorEastAsia" w:cs="Times New Roman" w:hint="eastAsia"/>
          <w:sz w:val="21"/>
          <w:szCs w:val="21"/>
        </w:rPr>
        <w:t>学堂在线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</w:t>
      </w:r>
      <w:r w:rsidR="00540797">
        <w:rPr>
          <w:rFonts w:asciiTheme="minorEastAsia" w:eastAsiaTheme="minorEastAsia" w:hAnsiTheme="minorEastAsia" w:cs="Times New Roman"/>
          <w:sz w:val="21"/>
          <w:szCs w:val="21"/>
        </w:rPr>
        <w:t>https://www.xuetangx.com</w:t>
      </w:r>
    </w:p>
    <w:p w14:paraId="26399B60" w14:textId="34CB013A" w:rsidR="00540797" w:rsidRPr="00540797" w:rsidRDefault="005407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sz w:val="21"/>
          <w:szCs w:val="21"/>
        </w:rPr>
        <w:t>3]</w:t>
      </w:r>
      <w:r w:rsidR="008970D1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8970D1" w:rsidRPr="00AE2823">
        <w:rPr>
          <w:rFonts w:asciiTheme="minorEastAsia" w:eastAsiaTheme="minorEastAsia" w:hAnsiTheme="minorEastAsia" w:cs="Times New Roman" w:hint="eastAsia"/>
          <w:sz w:val="21"/>
          <w:szCs w:val="21"/>
        </w:rPr>
        <w:t>商务谈判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8970D1">
        <w:rPr>
          <w:rFonts w:asciiTheme="minorEastAsia" w:eastAsiaTheme="minorEastAsia" w:hAnsiTheme="minorEastAsia" w:cs="Times New Roman" w:hint="eastAsia"/>
          <w:sz w:val="21"/>
          <w:szCs w:val="21"/>
        </w:rPr>
        <w:t>智慧树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</w:t>
      </w:r>
      <w:r w:rsidR="008970D1" w:rsidRPr="008970D1">
        <w:rPr>
          <w:rFonts w:asciiTheme="minorEastAsia" w:eastAsiaTheme="minorEastAsia" w:hAnsiTheme="minorEastAsia" w:cs="Times New Roman"/>
          <w:sz w:val="21"/>
          <w:szCs w:val="21"/>
        </w:rPr>
        <w:t>https://www.zhihuishu.com</w:t>
      </w:r>
    </w:p>
    <w:p w14:paraId="2CC1BCF1" w14:textId="77777777" w:rsidR="00250E63" w:rsidRDefault="00250E63">
      <w:pPr>
        <w:spacing w:line="360" w:lineRule="auto"/>
        <w:ind w:firstLineChars="2750" w:firstLine="5775"/>
        <w:rPr>
          <w:rFonts w:asciiTheme="minorEastAsia" w:eastAsiaTheme="minorEastAsia" w:hAnsiTheme="minorEastAsia" w:cs="Times New Roman"/>
          <w:sz w:val="21"/>
          <w:szCs w:val="21"/>
        </w:rPr>
      </w:pPr>
    </w:p>
    <w:p w14:paraId="1F7A2AF7" w14:textId="77777777" w:rsidR="00250E63" w:rsidRDefault="00250E63">
      <w:pPr>
        <w:spacing w:line="360" w:lineRule="auto"/>
        <w:ind w:firstLineChars="2750" w:firstLine="5775"/>
        <w:rPr>
          <w:rFonts w:asciiTheme="minorEastAsia" w:eastAsiaTheme="minorEastAsia" w:hAnsiTheme="minorEastAsia" w:cs="Times New Roman"/>
          <w:sz w:val="21"/>
          <w:szCs w:val="21"/>
        </w:rPr>
      </w:pPr>
    </w:p>
    <w:p w14:paraId="2CCF0F29" w14:textId="77777777" w:rsidR="00250E63" w:rsidRDefault="00250E63">
      <w:pPr>
        <w:spacing w:line="360" w:lineRule="auto"/>
        <w:ind w:firstLineChars="2750" w:firstLine="5775"/>
        <w:rPr>
          <w:rFonts w:asciiTheme="minorEastAsia" w:eastAsiaTheme="minorEastAsia" w:hAnsiTheme="minorEastAsia" w:cs="Times New Roman"/>
          <w:sz w:val="21"/>
          <w:szCs w:val="21"/>
        </w:rPr>
      </w:pPr>
    </w:p>
    <w:p w14:paraId="1E857209" w14:textId="77777777" w:rsidR="00250E63" w:rsidRDefault="00250E63">
      <w:pPr>
        <w:spacing w:line="360" w:lineRule="auto"/>
        <w:ind w:firstLineChars="2750" w:firstLine="5775"/>
        <w:rPr>
          <w:bCs/>
          <w:sz w:val="21"/>
          <w:szCs w:val="21"/>
        </w:rPr>
      </w:pPr>
    </w:p>
    <w:p w14:paraId="00748A75" w14:textId="23F1C6A0" w:rsidR="00250E63" w:rsidRDefault="00324BF8">
      <w:pPr>
        <w:spacing w:line="360" w:lineRule="auto"/>
        <w:ind w:firstLineChars="2750" w:firstLine="577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大纲执笔人： </w:t>
      </w:r>
      <w:r w:rsidR="00454116">
        <w:rPr>
          <w:rFonts w:hint="eastAsia"/>
          <w:bCs/>
          <w:sz w:val="21"/>
          <w:szCs w:val="21"/>
        </w:rPr>
        <w:t>黄荣钧</w:t>
      </w:r>
    </w:p>
    <w:p w14:paraId="11F04D0D" w14:textId="09F529F2" w:rsidR="00250E63" w:rsidRDefault="00324BF8">
      <w:pPr>
        <w:spacing w:line="360" w:lineRule="auto"/>
        <w:ind w:firstLineChars="2750" w:firstLine="577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讨论参与人:</w:t>
      </w:r>
      <w:r w:rsidR="00454116">
        <w:rPr>
          <w:bCs/>
          <w:sz w:val="21"/>
          <w:szCs w:val="21"/>
        </w:rPr>
        <w:t xml:space="preserve">  </w:t>
      </w:r>
      <w:proofErr w:type="gramStart"/>
      <w:r w:rsidR="00454116">
        <w:rPr>
          <w:rFonts w:hint="eastAsia"/>
          <w:bCs/>
          <w:sz w:val="21"/>
          <w:szCs w:val="21"/>
        </w:rPr>
        <w:t>谌</w:t>
      </w:r>
      <w:proofErr w:type="gramEnd"/>
      <w:r w:rsidR="00454116">
        <w:rPr>
          <w:rFonts w:hint="eastAsia"/>
          <w:bCs/>
          <w:sz w:val="21"/>
          <w:szCs w:val="21"/>
        </w:rPr>
        <w:t>兵</w:t>
      </w:r>
    </w:p>
    <w:p w14:paraId="4AC89515" w14:textId="26942E0C" w:rsidR="00250E63" w:rsidRDefault="00324BF8">
      <w:pPr>
        <w:spacing w:line="360" w:lineRule="auto"/>
        <w:ind w:firstLineChars="2750" w:firstLine="577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系（教研室）主任：</w:t>
      </w:r>
      <w:r w:rsidR="00454116">
        <w:rPr>
          <w:rFonts w:hint="eastAsia"/>
          <w:bCs/>
          <w:sz w:val="21"/>
          <w:szCs w:val="21"/>
        </w:rPr>
        <w:t>谭芬</w:t>
      </w:r>
    </w:p>
    <w:p w14:paraId="0C0C362A" w14:textId="77777777" w:rsidR="00250E63" w:rsidRDefault="00324BF8">
      <w:pPr>
        <w:spacing w:line="360" w:lineRule="auto"/>
        <w:ind w:firstLineChars="2750" w:firstLine="5775"/>
        <w:rPr>
          <w:b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学院（部）审核人：赖忠孝</w:t>
      </w:r>
      <w:r>
        <w:rPr>
          <w:rFonts w:hint="eastAsia"/>
          <w:b/>
          <w:bCs/>
          <w:sz w:val="21"/>
          <w:szCs w:val="21"/>
        </w:rPr>
        <w:t xml:space="preserve">  </w:t>
      </w:r>
    </w:p>
    <w:p w14:paraId="4B8697DD" w14:textId="7ACFFE0D" w:rsidR="00250E63" w:rsidRDefault="00324BF8">
      <w:pPr>
        <w:spacing w:line="360" w:lineRule="auto"/>
        <w:ind w:firstLineChars="3150" w:firstLine="6641"/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b/>
          <w:bCs/>
          <w:sz w:val="21"/>
          <w:szCs w:val="21"/>
        </w:rPr>
        <w:t xml:space="preserve">     </w:t>
      </w:r>
    </w:p>
    <w:sectPr w:rsidR="00250E63">
      <w:footerReference w:type="default" r:id="rId9"/>
      <w:pgSz w:w="11910" w:h="16840"/>
      <w:pgMar w:top="1281" w:right="1582" w:bottom="1520" w:left="1582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0AA3" w14:textId="77777777" w:rsidR="000E2073" w:rsidRDefault="000E2073">
      <w:r>
        <w:separator/>
      </w:r>
    </w:p>
  </w:endnote>
  <w:endnote w:type="continuationSeparator" w:id="0">
    <w:p w14:paraId="4C090C40" w14:textId="77777777" w:rsidR="000E2073" w:rsidRDefault="000E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9193" w14:textId="77777777" w:rsidR="00250E63" w:rsidRDefault="000E2073">
    <w:pPr>
      <w:pStyle w:val="a5"/>
      <w:spacing w:line="14" w:lineRule="auto"/>
      <w:rPr>
        <w:sz w:val="20"/>
      </w:rPr>
    </w:pPr>
    <w:r>
      <w:pict w14:anchorId="4BCF880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9pt;margin-top:776.05pt;width:17.5pt;height:12pt;z-index:-251658752;mso-position-horizontal-relative:page;mso-position-vertical-relative:page;mso-width-relative:page;mso-height-relative:page" o:gfxdata="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aU+MjaAAAADQEAAA8AAAAAAAAAAQAgAAAAIgAAAGRycy9kb3ducmV2LnhtbFBLAQIU&#10;ABQAAAAIAIdO4kAOtrCRuAEAAHEDAAAOAAAAAAAAAAEAIAAAACkBAABkcnMvZTJvRG9jLnhtbFBL&#10;BQYAAAAABgAGAFkBAABTBQAAAAA=&#10;" filled="f" stroked="f">
          <v:textbox inset="0,0,0,0">
            <w:txbxContent>
              <w:p w14:paraId="73A20420" w14:textId="77777777" w:rsidR="00250E63" w:rsidRDefault="00324BF8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FD8E" w14:textId="77777777" w:rsidR="000E2073" w:rsidRDefault="000E2073">
      <w:r>
        <w:separator/>
      </w:r>
    </w:p>
  </w:footnote>
  <w:footnote w:type="continuationSeparator" w:id="0">
    <w:p w14:paraId="16004EDA" w14:textId="77777777" w:rsidR="000E2073" w:rsidRDefault="000E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3230E00"/>
    <w:rsid w:val="0000492C"/>
    <w:rsid w:val="00016DDE"/>
    <w:rsid w:val="00021CE7"/>
    <w:rsid w:val="000300D1"/>
    <w:rsid w:val="0003127C"/>
    <w:rsid w:val="000350A6"/>
    <w:rsid w:val="00041CA0"/>
    <w:rsid w:val="00045B5B"/>
    <w:rsid w:val="00071383"/>
    <w:rsid w:val="000A4178"/>
    <w:rsid w:val="000B16F3"/>
    <w:rsid w:val="000B286D"/>
    <w:rsid w:val="000C1632"/>
    <w:rsid w:val="000D75BA"/>
    <w:rsid w:val="000E2073"/>
    <w:rsid w:val="000F74C0"/>
    <w:rsid w:val="001002A7"/>
    <w:rsid w:val="00104D16"/>
    <w:rsid w:val="00111370"/>
    <w:rsid w:val="001151FE"/>
    <w:rsid w:val="00121339"/>
    <w:rsid w:val="001338B7"/>
    <w:rsid w:val="0013610E"/>
    <w:rsid w:val="0014118B"/>
    <w:rsid w:val="001439D6"/>
    <w:rsid w:val="00143A7B"/>
    <w:rsid w:val="00144212"/>
    <w:rsid w:val="00145AD1"/>
    <w:rsid w:val="00146A93"/>
    <w:rsid w:val="00151FC4"/>
    <w:rsid w:val="00152127"/>
    <w:rsid w:val="001568D2"/>
    <w:rsid w:val="00161DF2"/>
    <w:rsid w:val="0016575E"/>
    <w:rsid w:val="0016634A"/>
    <w:rsid w:val="00166A60"/>
    <w:rsid w:val="0017234A"/>
    <w:rsid w:val="00185AF4"/>
    <w:rsid w:val="001976CD"/>
    <w:rsid w:val="00197E45"/>
    <w:rsid w:val="001A007A"/>
    <w:rsid w:val="001A075A"/>
    <w:rsid w:val="001A1523"/>
    <w:rsid w:val="001A6D5F"/>
    <w:rsid w:val="001C0259"/>
    <w:rsid w:val="001C03B6"/>
    <w:rsid w:val="001C65C2"/>
    <w:rsid w:val="001D3E3A"/>
    <w:rsid w:val="001D46DB"/>
    <w:rsid w:val="001E7FE0"/>
    <w:rsid w:val="001F7397"/>
    <w:rsid w:val="00206119"/>
    <w:rsid w:val="002136AD"/>
    <w:rsid w:val="00215994"/>
    <w:rsid w:val="00226552"/>
    <w:rsid w:val="002265A5"/>
    <w:rsid w:val="0023145E"/>
    <w:rsid w:val="0024779B"/>
    <w:rsid w:val="00250E63"/>
    <w:rsid w:val="0026097F"/>
    <w:rsid w:val="00261D9F"/>
    <w:rsid w:val="00265A40"/>
    <w:rsid w:val="00271571"/>
    <w:rsid w:val="002745D2"/>
    <w:rsid w:val="002851E5"/>
    <w:rsid w:val="00285607"/>
    <w:rsid w:val="002861CB"/>
    <w:rsid w:val="00286949"/>
    <w:rsid w:val="00291DD3"/>
    <w:rsid w:val="002A15CB"/>
    <w:rsid w:val="002B6954"/>
    <w:rsid w:val="002C5323"/>
    <w:rsid w:val="002D2649"/>
    <w:rsid w:val="002E041B"/>
    <w:rsid w:val="002E1EC9"/>
    <w:rsid w:val="002E46E8"/>
    <w:rsid w:val="002E5DC9"/>
    <w:rsid w:val="00305EEB"/>
    <w:rsid w:val="00312093"/>
    <w:rsid w:val="003148BC"/>
    <w:rsid w:val="00315322"/>
    <w:rsid w:val="00322A3C"/>
    <w:rsid w:val="00324BF8"/>
    <w:rsid w:val="00333E42"/>
    <w:rsid w:val="00342A4B"/>
    <w:rsid w:val="00357431"/>
    <w:rsid w:val="00381895"/>
    <w:rsid w:val="00396CED"/>
    <w:rsid w:val="003B180A"/>
    <w:rsid w:val="003B4F01"/>
    <w:rsid w:val="003C32E3"/>
    <w:rsid w:val="003D6331"/>
    <w:rsid w:val="003E7677"/>
    <w:rsid w:val="003F020C"/>
    <w:rsid w:val="003F5AEF"/>
    <w:rsid w:val="0040363F"/>
    <w:rsid w:val="00406D5E"/>
    <w:rsid w:val="0040733E"/>
    <w:rsid w:val="00422E82"/>
    <w:rsid w:val="0042393F"/>
    <w:rsid w:val="004301A8"/>
    <w:rsid w:val="0043039C"/>
    <w:rsid w:val="004334CA"/>
    <w:rsid w:val="00440FCE"/>
    <w:rsid w:val="004464C3"/>
    <w:rsid w:val="004504E4"/>
    <w:rsid w:val="00450D1B"/>
    <w:rsid w:val="00454116"/>
    <w:rsid w:val="00455A13"/>
    <w:rsid w:val="004615C7"/>
    <w:rsid w:val="0046398E"/>
    <w:rsid w:val="004639E0"/>
    <w:rsid w:val="00494058"/>
    <w:rsid w:val="00494EE8"/>
    <w:rsid w:val="00495F15"/>
    <w:rsid w:val="00496E5C"/>
    <w:rsid w:val="004A0F3A"/>
    <w:rsid w:val="004C001A"/>
    <w:rsid w:val="004C1E20"/>
    <w:rsid w:val="004C63A3"/>
    <w:rsid w:val="004D29D7"/>
    <w:rsid w:val="004D2B63"/>
    <w:rsid w:val="004D71BA"/>
    <w:rsid w:val="004F068E"/>
    <w:rsid w:val="00503B80"/>
    <w:rsid w:val="00513A6C"/>
    <w:rsid w:val="005371F1"/>
    <w:rsid w:val="00540797"/>
    <w:rsid w:val="005515FE"/>
    <w:rsid w:val="0056263A"/>
    <w:rsid w:val="00580C74"/>
    <w:rsid w:val="00587B70"/>
    <w:rsid w:val="00587FBD"/>
    <w:rsid w:val="0059072C"/>
    <w:rsid w:val="00594608"/>
    <w:rsid w:val="005E7AFC"/>
    <w:rsid w:val="005F4174"/>
    <w:rsid w:val="005F51F5"/>
    <w:rsid w:val="005F7E57"/>
    <w:rsid w:val="006176C9"/>
    <w:rsid w:val="00622F16"/>
    <w:rsid w:val="00624EEC"/>
    <w:rsid w:val="00625B99"/>
    <w:rsid w:val="00632BCE"/>
    <w:rsid w:val="00640CEB"/>
    <w:rsid w:val="006440E6"/>
    <w:rsid w:val="00650238"/>
    <w:rsid w:val="00651CA2"/>
    <w:rsid w:val="00664B08"/>
    <w:rsid w:val="00687733"/>
    <w:rsid w:val="00690F38"/>
    <w:rsid w:val="00692C08"/>
    <w:rsid w:val="00695F9C"/>
    <w:rsid w:val="006A2BD9"/>
    <w:rsid w:val="006A415A"/>
    <w:rsid w:val="006B6AE1"/>
    <w:rsid w:val="006C53D0"/>
    <w:rsid w:val="00704A18"/>
    <w:rsid w:val="007071D1"/>
    <w:rsid w:val="00707C37"/>
    <w:rsid w:val="00713762"/>
    <w:rsid w:val="00714799"/>
    <w:rsid w:val="00715AA4"/>
    <w:rsid w:val="00723B9F"/>
    <w:rsid w:val="00732BDF"/>
    <w:rsid w:val="00746A70"/>
    <w:rsid w:val="00753940"/>
    <w:rsid w:val="007547C5"/>
    <w:rsid w:val="007567E5"/>
    <w:rsid w:val="00762B64"/>
    <w:rsid w:val="007635D0"/>
    <w:rsid w:val="007660AE"/>
    <w:rsid w:val="00766B88"/>
    <w:rsid w:val="007742FD"/>
    <w:rsid w:val="00775E90"/>
    <w:rsid w:val="00777DB7"/>
    <w:rsid w:val="00783B18"/>
    <w:rsid w:val="007947F9"/>
    <w:rsid w:val="007A06C6"/>
    <w:rsid w:val="007A47D4"/>
    <w:rsid w:val="007B33B0"/>
    <w:rsid w:val="007C3963"/>
    <w:rsid w:val="007C452D"/>
    <w:rsid w:val="007D3095"/>
    <w:rsid w:val="007D3913"/>
    <w:rsid w:val="007D63BB"/>
    <w:rsid w:val="007D7724"/>
    <w:rsid w:val="007F104A"/>
    <w:rsid w:val="00807267"/>
    <w:rsid w:val="008115D7"/>
    <w:rsid w:val="008346B3"/>
    <w:rsid w:val="00835C3C"/>
    <w:rsid w:val="0084489B"/>
    <w:rsid w:val="00847F6A"/>
    <w:rsid w:val="00851CE2"/>
    <w:rsid w:val="00857093"/>
    <w:rsid w:val="00865294"/>
    <w:rsid w:val="00866830"/>
    <w:rsid w:val="00867456"/>
    <w:rsid w:val="008741F7"/>
    <w:rsid w:val="00876A58"/>
    <w:rsid w:val="00881FBF"/>
    <w:rsid w:val="008970D1"/>
    <w:rsid w:val="00897A30"/>
    <w:rsid w:val="008A1274"/>
    <w:rsid w:val="008B6063"/>
    <w:rsid w:val="008C78D1"/>
    <w:rsid w:val="008D78ED"/>
    <w:rsid w:val="008E1805"/>
    <w:rsid w:val="00913332"/>
    <w:rsid w:val="00913574"/>
    <w:rsid w:val="0091620D"/>
    <w:rsid w:val="009237E6"/>
    <w:rsid w:val="009267C2"/>
    <w:rsid w:val="009317D9"/>
    <w:rsid w:val="0093333B"/>
    <w:rsid w:val="009369B4"/>
    <w:rsid w:val="00947693"/>
    <w:rsid w:val="00963417"/>
    <w:rsid w:val="00967D90"/>
    <w:rsid w:val="00973A93"/>
    <w:rsid w:val="00987CBB"/>
    <w:rsid w:val="00995145"/>
    <w:rsid w:val="00995DA7"/>
    <w:rsid w:val="00996A36"/>
    <w:rsid w:val="009A7451"/>
    <w:rsid w:val="009B147C"/>
    <w:rsid w:val="009B49B3"/>
    <w:rsid w:val="009C2552"/>
    <w:rsid w:val="009D6CB5"/>
    <w:rsid w:val="009E4EC5"/>
    <w:rsid w:val="009F2B7C"/>
    <w:rsid w:val="00A0374B"/>
    <w:rsid w:val="00A05818"/>
    <w:rsid w:val="00A305B4"/>
    <w:rsid w:val="00A33AC2"/>
    <w:rsid w:val="00A33B35"/>
    <w:rsid w:val="00A44EF5"/>
    <w:rsid w:val="00A52500"/>
    <w:rsid w:val="00A6259D"/>
    <w:rsid w:val="00A645B1"/>
    <w:rsid w:val="00A87CA0"/>
    <w:rsid w:val="00AA3588"/>
    <w:rsid w:val="00AA61DF"/>
    <w:rsid w:val="00AA65EC"/>
    <w:rsid w:val="00AB2FB4"/>
    <w:rsid w:val="00AB42A7"/>
    <w:rsid w:val="00AD089E"/>
    <w:rsid w:val="00AE2823"/>
    <w:rsid w:val="00AF2EFC"/>
    <w:rsid w:val="00B14697"/>
    <w:rsid w:val="00B33326"/>
    <w:rsid w:val="00B40723"/>
    <w:rsid w:val="00B41A2B"/>
    <w:rsid w:val="00B503A1"/>
    <w:rsid w:val="00B5184C"/>
    <w:rsid w:val="00B5700E"/>
    <w:rsid w:val="00B76A27"/>
    <w:rsid w:val="00B82AED"/>
    <w:rsid w:val="00B84292"/>
    <w:rsid w:val="00B923E6"/>
    <w:rsid w:val="00B95C4A"/>
    <w:rsid w:val="00BA1F5A"/>
    <w:rsid w:val="00BE382C"/>
    <w:rsid w:val="00BE4629"/>
    <w:rsid w:val="00BE7B31"/>
    <w:rsid w:val="00BE7E72"/>
    <w:rsid w:val="00C05040"/>
    <w:rsid w:val="00C05DBA"/>
    <w:rsid w:val="00C1697C"/>
    <w:rsid w:val="00C248D6"/>
    <w:rsid w:val="00C24A02"/>
    <w:rsid w:val="00C43DE0"/>
    <w:rsid w:val="00C51E8C"/>
    <w:rsid w:val="00C65DAB"/>
    <w:rsid w:val="00C71720"/>
    <w:rsid w:val="00C82822"/>
    <w:rsid w:val="00CA4628"/>
    <w:rsid w:val="00CA4650"/>
    <w:rsid w:val="00CC68EB"/>
    <w:rsid w:val="00CD27E2"/>
    <w:rsid w:val="00CD5ACA"/>
    <w:rsid w:val="00CE6936"/>
    <w:rsid w:val="00CF27B9"/>
    <w:rsid w:val="00D074EE"/>
    <w:rsid w:val="00D075E5"/>
    <w:rsid w:val="00D07616"/>
    <w:rsid w:val="00D2088A"/>
    <w:rsid w:val="00D2152C"/>
    <w:rsid w:val="00D34C20"/>
    <w:rsid w:val="00D41FC6"/>
    <w:rsid w:val="00D51719"/>
    <w:rsid w:val="00D616C7"/>
    <w:rsid w:val="00D80AA9"/>
    <w:rsid w:val="00D83DC5"/>
    <w:rsid w:val="00D85AF2"/>
    <w:rsid w:val="00D93ED5"/>
    <w:rsid w:val="00D963CB"/>
    <w:rsid w:val="00DA12E7"/>
    <w:rsid w:val="00DA3288"/>
    <w:rsid w:val="00DC3D81"/>
    <w:rsid w:val="00DD3873"/>
    <w:rsid w:val="00DE50E5"/>
    <w:rsid w:val="00DF1A9E"/>
    <w:rsid w:val="00DF664C"/>
    <w:rsid w:val="00E10089"/>
    <w:rsid w:val="00E15899"/>
    <w:rsid w:val="00E20C64"/>
    <w:rsid w:val="00E22425"/>
    <w:rsid w:val="00E279C6"/>
    <w:rsid w:val="00E465AB"/>
    <w:rsid w:val="00E66B47"/>
    <w:rsid w:val="00E70B44"/>
    <w:rsid w:val="00E719B7"/>
    <w:rsid w:val="00E74EDD"/>
    <w:rsid w:val="00E761F2"/>
    <w:rsid w:val="00E76F7E"/>
    <w:rsid w:val="00E95627"/>
    <w:rsid w:val="00EB1508"/>
    <w:rsid w:val="00EB3697"/>
    <w:rsid w:val="00EC4B17"/>
    <w:rsid w:val="00EE3E53"/>
    <w:rsid w:val="00EE4AF5"/>
    <w:rsid w:val="00EF4B3D"/>
    <w:rsid w:val="00EF6B88"/>
    <w:rsid w:val="00F0710E"/>
    <w:rsid w:val="00F124C6"/>
    <w:rsid w:val="00F27626"/>
    <w:rsid w:val="00F345B7"/>
    <w:rsid w:val="00F362FA"/>
    <w:rsid w:val="00F51F6C"/>
    <w:rsid w:val="00F6354D"/>
    <w:rsid w:val="00F6597A"/>
    <w:rsid w:val="00F71000"/>
    <w:rsid w:val="00F93796"/>
    <w:rsid w:val="00FC4001"/>
    <w:rsid w:val="00FD1AFC"/>
    <w:rsid w:val="00FE2D1C"/>
    <w:rsid w:val="00FE72F6"/>
    <w:rsid w:val="00FF0A0D"/>
    <w:rsid w:val="00FF56A3"/>
    <w:rsid w:val="03AA3B17"/>
    <w:rsid w:val="070B7397"/>
    <w:rsid w:val="08302D35"/>
    <w:rsid w:val="08810F5D"/>
    <w:rsid w:val="0CA849F1"/>
    <w:rsid w:val="11310B01"/>
    <w:rsid w:val="17731485"/>
    <w:rsid w:val="22EB2C05"/>
    <w:rsid w:val="282E32C4"/>
    <w:rsid w:val="28A6173B"/>
    <w:rsid w:val="2A8668BF"/>
    <w:rsid w:val="2BF778DA"/>
    <w:rsid w:val="2D1C2A84"/>
    <w:rsid w:val="2D7F3ACC"/>
    <w:rsid w:val="30AF7500"/>
    <w:rsid w:val="30C56001"/>
    <w:rsid w:val="31915E57"/>
    <w:rsid w:val="3617313D"/>
    <w:rsid w:val="39FE6D55"/>
    <w:rsid w:val="3A686D76"/>
    <w:rsid w:val="40473D61"/>
    <w:rsid w:val="43CB4813"/>
    <w:rsid w:val="4458284F"/>
    <w:rsid w:val="47107A2C"/>
    <w:rsid w:val="50BF74FF"/>
    <w:rsid w:val="522719EC"/>
    <w:rsid w:val="578E4D31"/>
    <w:rsid w:val="5BBF09F6"/>
    <w:rsid w:val="5C8A5B28"/>
    <w:rsid w:val="63230E00"/>
    <w:rsid w:val="645F054B"/>
    <w:rsid w:val="74100058"/>
    <w:rsid w:val="75A259CB"/>
    <w:rsid w:val="766224BD"/>
    <w:rsid w:val="7A2A79A0"/>
    <w:rsid w:val="7B730E89"/>
    <w:rsid w:val="7F9B1585"/>
    <w:rsid w:val="7FF5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46E12"/>
  <w15:docId w15:val="{4FBBE22B-B7FD-4F5C-AD73-0C871A3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1" w:qFormat="1"/>
    <w:lsdException w:name="heading 8" w:uiPriority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4F068E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7">
    <w:name w:val="heading 7"/>
    <w:basedOn w:val="a"/>
    <w:next w:val="a"/>
    <w:uiPriority w:val="1"/>
    <w:qFormat/>
    <w:pPr>
      <w:spacing w:line="489" w:lineRule="exact"/>
      <w:ind w:left="49"/>
      <w:jc w:val="center"/>
      <w:outlineLvl w:val="6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8">
    <w:name w:val="heading 8"/>
    <w:basedOn w:val="a"/>
    <w:next w:val="a"/>
    <w:uiPriority w:val="1"/>
    <w:qFormat/>
    <w:pPr>
      <w:jc w:val="center"/>
      <w:outlineLvl w:val="7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Pr>
      <w:sz w:val="24"/>
    </w:rPr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页眉 字符"/>
    <w:basedOn w:val="a0"/>
    <w:link w:val="aa"/>
    <w:qFormat/>
    <w:rPr>
      <w:rFonts w:ascii="宋体" w:eastAsia="宋体" w:hAnsi="宋体" w:cs="宋体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宋体" w:eastAsia="宋体" w:hAnsi="宋体" w:cs="宋体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lang w:val="zh-CN" w:bidi="zh-CN"/>
    </w:rPr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普通(网站)1"/>
    <w:basedOn w:val="a"/>
    <w:qFormat/>
    <w:pPr>
      <w:widowControl/>
      <w:autoSpaceDE/>
      <w:autoSpaceDN/>
      <w:spacing w:before="100" w:beforeAutospacing="1" w:after="100" w:afterAutospacing="1" w:line="432" w:lineRule="atLeast"/>
    </w:pPr>
    <w:rPr>
      <w:color w:val="555555"/>
      <w:sz w:val="24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f0">
    <w:name w:val="批注主题 字符"/>
    <w:basedOn w:val="a4"/>
    <w:link w:val="af"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a7">
    <w:name w:val="批注框文本 字符"/>
    <w:basedOn w:val="a0"/>
    <w:link w:val="a6"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论文规范一级标题 Char"/>
    <w:basedOn w:val="a0"/>
    <w:link w:val="af5"/>
    <w:qFormat/>
    <w:locked/>
    <w:rPr>
      <w:rFonts w:ascii="Cambria" w:hAnsi="Cambria"/>
      <w:b/>
      <w:bCs/>
      <w:kern w:val="2"/>
      <w:sz w:val="32"/>
      <w:szCs w:val="32"/>
    </w:rPr>
  </w:style>
  <w:style w:type="paragraph" w:customStyle="1" w:styleId="af5">
    <w:name w:val="论文规范一级标题"/>
    <w:basedOn w:val="ad"/>
    <w:link w:val="Char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e">
    <w:name w:val="标题 字符"/>
    <w:basedOn w:val="a0"/>
    <w:link w:val="ad"/>
    <w:qFormat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uiPriority w:val="59"/>
    <w:qFormat/>
    <w:rsid w:val="004F068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54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1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239224">
          <w:marLeft w:val="45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2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65CF186-FA5C-42CF-8662-4018AA7F0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3135</Characters>
  <Application>Microsoft Office Word</Application>
  <DocSecurity>0</DocSecurity>
  <Lines>26</Lines>
  <Paragraphs>7</Paragraphs>
  <ScaleCrop>false</ScaleCrop>
  <Company>dgut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谭 芬</cp:lastModifiedBy>
  <cp:revision>2</cp:revision>
  <cp:lastPrinted>2021-12-20T03:34:00Z</cp:lastPrinted>
  <dcterms:created xsi:type="dcterms:W3CDTF">2022-02-28T16:58:00Z</dcterms:created>
  <dcterms:modified xsi:type="dcterms:W3CDTF">2022-02-28T16:58:00Z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08E3108BAD1D443C9C620D396D744EB7</vt:lpwstr>
  </property>
</Properties>
</file>