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不动产投资策略》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教学大纲</w:t>
      </w:r>
    </w:p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9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通识教育选修课程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不动产投资策略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Real estate investment strategy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FX03TX03C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适用全校专业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上机学时：0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/>
                <w:sz w:val="21"/>
                <w:szCs w:val="21"/>
                <w:lang w:bidi="ar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sz w:val="21"/>
                <w:szCs w:val="21"/>
                <w:lang w:bidi="ar"/>
              </w:rPr>
              <w:t>金融与贸易学院</w:t>
            </w:r>
          </w:p>
        </w:tc>
      </w:tr>
    </w:tbl>
    <w:p>
      <w:pPr>
        <w:spacing w:line="360" w:lineRule="auto"/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Calibri" w:hAnsi="Calibri" w:eastAsia="宋体" w:cs="Times New Roman"/>
          <w:sz w:val="21"/>
          <w:szCs w:val="21"/>
          <w:lang w:eastAsia="zh-CN"/>
        </w:rPr>
      </w:pPr>
      <w:bookmarkStart w:id="4" w:name="_GoBack"/>
      <w:r>
        <w:rPr>
          <w:rFonts w:hint="eastAsia" w:ascii="Calibri" w:hAnsi="Calibri" w:cs="Times New Roman"/>
          <w:sz w:val="21"/>
          <w:szCs w:val="21"/>
          <w:lang w:eastAsia="zh-Hans"/>
        </w:rPr>
        <w:t>《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不动产投资策略</w:t>
      </w:r>
      <w:r>
        <w:rPr>
          <w:rFonts w:hint="eastAsia" w:ascii="Calibri" w:hAnsi="Calibri" w:cs="Times New Roman"/>
          <w:sz w:val="21"/>
          <w:szCs w:val="21"/>
          <w:lang w:eastAsia="zh-Hans"/>
        </w:rPr>
        <w:t>》是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>面向全校</w:t>
      </w:r>
      <w:r>
        <w:rPr>
          <w:rFonts w:hint="eastAsia" w:ascii="Calibri" w:hAnsi="Calibri" w:cs="Times New Roman"/>
          <w:sz w:val="21"/>
          <w:szCs w:val="21"/>
          <w:lang w:val="en-US" w:eastAsia="zh-Hans"/>
        </w:rPr>
        <w:t>专业学生的一门公共选修课程</w:t>
      </w:r>
      <w:r>
        <w:rPr>
          <w:rFonts w:hint="eastAsia" w:ascii="Calibri" w:hAnsi="Calibri" w:cs="Times New Roman"/>
          <w:sz w:val="21"/>
          <w:szCs w:val="21"/>
          <w:lang w:eastAsia="zh-Hans"/>
        </w:rPr>
        <w:t>。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>本课程</w:t>
      </w:r>
      <w:r>
        <w:rPr>
          <w:rFonts w:hint="eastAsia" w:ascii="宋体" w:hAnsi="宋体"/>
          <w:color w:val="000000"/>
          <w:sz w:val="21"/>
          <w:szCs w:val="21"/>
        </w:rPr>
        <w:t>解析房地产金融的奥秘、探索房地产投资的规律、应对房地产市场的风险。使学生系统了解房地产投融资方面的基本原理和基础知识，并深入了解和掌握房地产金融和投融资的最新发展现状。通过将金融学理论与“海南岛房地产泡沫”、“恒大地产借壳上市失败”、“十四五规划”、 “蛋壳公寓暴雷”等活生生的实际相联系，引导学生学会用经济学的思维和分析框架去解读社会现象，并深刻体会“房住不炒”、“三去一降一补”等国家战略的经济逻辑和时代必须性。</w:t>
      </w:r>
      <w:r>
        <w:rPr>
          <w:rFonts w:hint="default"/>
          <w:sz w:val="21"/>
          <w:szCs w:val="21"/>
          <w:lang w:eastAsia="zh-Hans"/>
        </w:rPr>
        <w:t>《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不动产投资策略</w:t>
      </w:r>
      <w:r>
        <w:rPr>
          <w:rFonts w:hint="default"/>
          <w:sz w:val="21"/>
          <w:szCs w:val="21"/>
          <w:lang w:eastAsia="zh-Hans"/>
        </w:rPr>
        <w:t>》</w:t>
      </w:r>
      <w:r>
        <w:rPr>
          <w:rFonts w:hint="eastAsia"/>
          <w:sz w:val="21"/>
          <w:szCs w:val="21"/>
          <w:lang w:val="en-US" w:eastAsia="zh-Hans"/>
        </w:rPr>
        <w:t>作为一门交叉学科</w:t>
      </w:r>
      <w:r>
        <w:rPr>
          <w:rFonts w:hint="default"/>
          <w:sz w:val="21"/>
          <w:szCs w:val="21"/>
          <w:lang w:eastAsia="zh-Hans"/>
        </w:rPr>
        <w:t>，</w:t>
      </w:r>
      <w:r>
        <w:rPr>
          <w:rFonts w:hint="eastAsia"/>
          <w:sz w:val="21"/>
          <w:szCs w:val="21"/>
          <w:lang w:val="en-US" w:eastAsia="zh-Hans"/>
        </w:rPr>
        <w:t>可以从理论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技术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实践等多维度视角更深入地理解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不动产投资策略</w:t>
      </w:r>
      <w:r>
        <w:rPr>
          <w:rFonts w:hint="eastAsia"/>
          <w:sz w:val="21"/>
          <w:szCs w:val="21"/>
          <w:lang w:val="en-US" w:eastAsia="zh-Hans"/>
        </w:rPr>
        <w:t>的本质与发展</w:t>
      </w:r>
      <w:r>
        <w:rPr>
          <w:rFonts w:hint="eastAsia"/>
          <w:sz w:val="21"/>
          <w:szCs w:val="21"/>
          <w:lang w:val="en-US" w:eastAsia="zh-CN"/>
        </w:rPr>
        <w:t>。</w:t>
      </w:r>
    </w:p>
    <w:bookmarkEnd w:id="4"/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8"/>
        <w:tblpPr w:leftFromText="180" w:rightFromText="180" w:vertAnchor="text" w:horzAnchor="margin" w:tblpX="-523" w:tblpY="174"/>
        <w:tblW w:w="94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521"/>
        <w:gridCol w:w="2597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82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59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541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知识目标</w:t>
            </w:r>
          </w:p>
        </w:tc>
        <w:tc>
          <w:tcPr>
            <w:tcW w:w="45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目标1：</w:t>
            </w:r>
          </w:p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掌握不动产投资最新政策</w:t>
            </w:r>
            <w:r>
              <w:rPr>
                <w:rFonts w:hint="default"/>
                <w:color w:val="00000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熟悉不动产投资基础知识和框架</w:t>
            </w:r>
            <w:r>
              <w:rPr>
                <w:rFonts w:hint="default"/>
                <w:color w:val="00000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59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4-3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了解国家不动产投资政策动态。</w:t>
            </w:r>
          </w:p>
        </w:tc>
        <w:tc>
          <w:tcPr>
            <w:tcW w:w="154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  <w:color w:val="000000"/>
                <w:sz w:val="21"/>
                <w:szCs w:val="21"/>
              </w:rPr>
              <w:t>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能力目标</w:t>
            </w:r>
          </w:p>
        </w:tc>
        <w:tc>
          <w:tcPr>
            <w:tcW w:w="45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培养学生多角度思考问题的能力以及逻辑思维能力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59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</w:rPr>
              <w:t>：具有理性思考能力，能多角度、有序的分析和论证。</w:t>
            </w:r>
          </w:p>
        </w:tc>
        <w:tc>
          <w:tcPr>
            <w:tcW w:w="154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</w:t>
            </w:r>
            <w:r>
              <w:rPr>
                <w:rFonts w:hint="eastAsia"/>
                <w:color w:val="000000"/>
                <w:sz w:val="21"/>
                <w:szCs w:val="21"/>
              </w:rPr>
              <w:t>批判性思维能力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5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通过本课程的学习，学生应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时刻关注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不动产投资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相关资讯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主动学习</w:t>
            </w:r>
            <w:r>
              <w:rPr>
                <w:rFonts w:hint="default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培养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不动产投资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策略并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应用到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具体投资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中去的能力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59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13-1:</w:t>
            </w:r>
            <w:r>
              <w:rPr>
                <w:rFonts w:hint="eastAsia"/>
                <w:color w:val="000000"/>
                <w:sz w:val="21"/>
                <w:szCs w:val="21"/>
              </w:rPr>
              <w:t>能够掌握有效的学习方法，培养持续学习意识，能主动接受终身教育。</w:t>
            </w:r>
          </w:p>
        </w:tc>
        <w:tc>
          <w:tcPr>
            <w:tcW w:w="154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.自主与终身学习能力</w:t>
            </w:r>
          </w:p>
        </w:tc>
      </w:tr>
    </w:tbl>
    <w:p>
      <w:pPr>
        <w:spacing w:line="360" w:lineRule="auto"/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8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496"/>
        <w:gridCol w:w="198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4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不动产投资基本概念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96" w:type="dxa"/>
            <w:vAlign w:val="center"/>
          </w:tcPr>
          <w:p>
            <w:pPr>
              <w:adjustRightInd w:val="0"/>
              <w:jc w:val="both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 从高房价、“三去一降一补”和“房住不炒”等社会热点话题切入，引导学生思考房地产的金融属性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</w:rPr>
              <w:t>从短期（金融）、中期（土地）、长期（人口）宏观鸟瞰房地产业的周期，并引出房地产金融与投资的宏观框架。</w:t>
            </w:r>
          </w:p>
          <w:p>
            <w:pPr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：通过投资风险与收益成正比的特性，同时借助历史上的房地产泡沫案例引导学生关注房地产的金融风险，杜绝盲目的房地产投机。</w:t>
            </w:r>
          </w:p>
          <w:p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通过讲解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不动产投资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发展历程与我国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不动产投资长达十几年的价格的上涨过程中碰到的问题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培养学生的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房住不炒的政策以及房地产税征收的影响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线下教学。</w:t>
            </w:r>
            <w:r>
              <w:rPr>
                <w:rFonts w:hint="eastAsia"/>
                <w:color w:val="333333"/>
                <w:sz w:val="21"/>
                <w:szCs w:val="21"/>
              </w:rPr>
              <w:t>对于基本概念、原理在课堂上予以讲授，更多采用对比分析的方法进行课堂教学。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在教学过程中加入视频教学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增加学生学习的趣味性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</w:rPr>
              <w:t>课堂主要运用讲授法与对比、讨论分析开展教学，辅以启发式提问拓宽学生学习思路。</w:t>
            </w:r>
          </w:p>
          <w:p>
            <w:pPr>
              <w:adjustRightInd w:val="0"/>
              <w:jc w:val="both"/>
              <w:rPr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：要求学生提前了解我国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不动产投资的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相关政策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要求学生积极参与课堂讨论，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不动产投资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发展进行探讨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：完成延伸阅读。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房地产抵押贷款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6" w:type="dxa"/>
            <w:vAlign w:val="center"/>
          </w:tcPr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让学生熟悉和掌握货币时间价值等作为金融学和投资学基础知识，以及PMT、PV、FV等相关EXCEL函数的操作。</w:t>
            </w:r>
          </w:p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zh-CN"/>
              </w:rPr>
              <w:t>房地产抵押贷款运行中的关键环节。</w:t>
            </w:r>
          </w:p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：线下教学。课堂主要运用讲授法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不动产投资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进行相关介绍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结合实际引发学生学习热情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辅以案例教学法使学生对知识有进一步的理解。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PMT、PV、FV等相关EXCEL函数的操作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了解相关业务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zh-CN"/>
              </w:rPr>
              <w:t>房地产抵押贷款运行中的关键环节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：了解</w:t>
            </w:r>
            <w:r>
              <w:rPr>
                <w:rFonts w:hint="eastAsia"/>
                <w:color w:val="333333"/>
                <w:sz w:val="21"/>
                <w:szCs w:val="21"/>
                <w:lang w:val="zh-CN"/>
              </w:rPr>
              <w:t>房地产抵押贷款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相关政策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固定利率抵押贷款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6" w:type="dxa"/>
            <w:vAlign w:val="center"/>
          </w:tcPr>
          <w:p>
            <w:pPr>
              <w:spacing w:line="360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增量借款成本方案，比较购买新房时面临多种融资方案的优劣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住房抵押贷款再融资方案</w:t>
            </w:r>
          </w:p>
          <w:p>
            <w:pPr>
              <w:spacing w:line="360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理解影响抵押贷款利率的因素，要掌握等额偿还抵押贷款的每月偿还额计算和贷款余额的计算，并了解固定利率抵押贷款的创新方式。</w:t>
            </w:r>
          </w:p>
          <w:p>
            <w:pPr>
              <w:jc w:val="both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帮助学生对其月供、贷款清偿、贷款余额的函数形式的差异和背后的数学含义进行认识和掌握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使学生了解当前国家政策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加强对学生世界观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人生观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价值观的教育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：线下教学。课堂主要运用讲授法开展教学，结合实际案例，辅以提问法使学生掌握基础理论知识。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了解众筹相关案例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：要求学生积极参与课堂讨论；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了解众筹相关政策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可调利率抵押贷款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6" w:type="dxa"/>
            <w:vAlign w:val="center"/>
          </w:tcPr>
          <w:p>
            <w:pPr>
              <w:adjustRightInd w:val="0"/>
              <w:jc w:val="both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可调利率贷款的必要性、可调利率抵押贷款在各种条件下的付款机制，难点：区块链与比特币原理。</w:t>
            </w:r>
          </w:p>
          <w:p>
            <w:pPr>
              <w:adjustRightInd w:val="0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  <w:lang w:val="en-US" w:eastAsia="zh-CN"/>
              </w:rPr>
              <w:t>难点：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有中国特色的可变利率抵押贷款的模式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运用讲授法对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可调利率抵押贷款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原理进行重点讲解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并结合实事引发学生学习热情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辅以提问法拓宽学生学习思路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bookmarkStart w:id="0" w:name="OLE_LINK13"/>
            <w:bookmarkStart w:id="1" w:name="OLE_LINK14"/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搜集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可调利率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相关资讯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0"/>
            <w:bookmarkEnd w:id="1"/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：要求组成学习小组参与课堂讨论；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default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思考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贷款市场报价利率（Loan Prime Rate）的历史沿革、目的和特征、对住房抵押贷款市场的影响。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住房抵押贷款证券化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96" w:type="dxa"/>
            <w:vAlign w:val="center"/>
          </w:tcPr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掌握住房抵押贷款证券化的概念及运行原理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主要发达国家抵押贷款证券化模式。</w:t>
            </w:r>
          </w:p>
          <w:p>
            <w:pPr>
              <w:adjustRightInd w:val="0"/>
              <w:jc w:val="both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思政元素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</w:t>
            </w:r>
            <w:r>
              <w:rPr>
                <w:rFonts w:hint="eastAsia"/>
                <w:color w:val="333333"/>
                <w:sz w:val="21"/>
                <w:szCs w:val="21"/>
              </w:rPr>
              <w:t>对我国推行抵押贷款证券化进行探讨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积极引导当代学生树立正确的国家观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民族观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：线下教学。课堂主要运用讲授法开展教学，结合实际案例，辅以提问法引导学生对问题进行探讨。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住房抵押贷款证券化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相关政策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：要求学生积极参与课堂讨论；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：完成延伸阅读。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6" w:type="dxa"/>
            <w:vAlign w:val="center"/>
          </w:tcPr>
          <w:p>
            <w:pPr>
              <w:adjustRightInd w:val="0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重点</w:t>
            </w:r>
            <w:r>
              <w:rPr>
                <w:rFonts w:hint="eastAsia"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理解建立住房公积金制度的作用、住房公积金的性质和特点、住房公积金的管理原则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jc w:val="both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color w:val="333333"/>
                <w:sz w:val="21"/>
                <w:szCs w:val="21"/>
              </w:rPr>
              <w:t>：掌握住房公积金缴存和支取的基本规定、住房公积金贷款的基本操作流程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教学方法与策略</w:t>
            </w:r>
            <w:r>
              <w:rPr>
                <w:rFonts w:hint="eastAsia"/>
                <w:color w:val="333333"/>
                <w:sz w:val="21"/>
                <w:szCs w:val="21"/>
              </w:rPr>
              <w:t>：线下教学。课堂主要运用讲授法开展教学，通过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住房公积金制度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的探讨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普及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住房公积金制度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相关法律法规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辅以启发式提问拓宽学生学习思路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：要求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住房公积金制度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法律法规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：要求学生积极参与课堂讨论；</w:t>
            </w:r>
          </w:p>
          <w:p>
            <w:pPr>
              <w:adjustRightInd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：了解当前我国住房公积金制度存在的一些问题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</w:tbl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考核与评价是对课程教学目标中的知识目标、能力目标和素质目标进行综合评价。在本课程中，学生的最终成绩是由平时成绩、期末作业两个部分组成。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0%）：采用百分制。平时成绩分作业（占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0%）、课堂表现（占10%）和考勤（占10%）三个部分。评分标准如下表：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1.作业；2.课堂表现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</w:t>
            </w:r>
            <w:r>
              <w:rPr>
                <w:rFonts w:hint="eastAsia"/>
                <w:color w:val="333333"/>
                <w:sz w:val="21"/>
                <w:szCs w:val="21"/>
              </w:rPr>
              <w:t>正确。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2.课堂上在探讨问题方面积极发言，善于提出问题，大胆尝试并表达自己的想法及观点。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3.从不迟到、早退、无故旷课。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整洁；80％以上的习题解答</w:t>
            </w:r>
            <w:r>
              <w:rPr>
                <w:rFonts w:hint="eastAsia"/>
                <w:color w:val="333333"/>
                <w:sz w:val="21"/>
                <w:szCs w:val="21"/>
              </w:rPr>
              <w:t>正确。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2.课堂上在探讨问题方面较为主动发言，有提出一定的问题，并能比较有条理地表达自己的想法及观点。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3.早退、无故旷课，迟到次数共少于2次。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</w:t>
            </w:r>
            <w:r>
              <w:rPr>
                <w:rFonts w:hint="eastAsia"/>
                <w:color w:val="333333"/>
                <w:sz w:val="21"/>
                <w:szCs w:val="21"/>
              </w:rPr>
              <w:t>正确。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2.课堂上偶尔对问题的探讨进行发言，提出问题的次数较少，不太踊跃表达自己的想法及观点。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3.早退、无故旷课，迟到次数少于3次。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2.课堂上对问题的探讨发言不积极，极少参与问题的讨论，不敢尝试并表达自己的想法及观点。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3.早退、无故旷课，迟到次数少于5次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2.课堂上对问题的探讨发言消极，从不提出问题，不尝试并表达自己的想法及观点。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3.早退、无故旷课，迟到次数超过5次。</w:t>
            </w:r>
          </w:p>
        </w:tc>
      </w:tr>
    </w:tbl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2.期末作业（占总成绩的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0%）：采用百分制。运用课堂所学知识撰写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结课论文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，评分标准见下表：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33" w:type="dxa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743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743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主题明确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内容恰当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充分利用课堂所学内容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符合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结课论文</w:t>
            </w:r>
            <w:r>
              <w:rPr>
                <w:rFonts w:hint="eastAsia"/>
                <w:color w:val="333333"/>
                <w:sz w:val="21"/>
                <w:szCs w:val="21"/>
              </w:rPr>
              <w:t>要求。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2.理论联系实际，分析方法全面、完整、有自己的见解。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3.论点明确，论述深刻，论证严谨。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结构合理、层次清晰、逻辑性强、语言通顺、行文规范。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743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主题明确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内容基本恰当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充分利用课堂所学内容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符合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结课论文</w:t>
            </w:r>
            <w:r>
              <w:rPr>
                <w:rFonts w:hint="eastAsia"/>
                <w:color w:val="333333"/>
                <w:sz w:val="21"/>
                <w:szCs w:val="21"/>
              </w:rPr>
              <w:t>要求。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2.基本能做到理论联系实际，分析方法比较全面、完整、比较有自己的见解。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3.论点比较明确，论述比较深刻，论证较为严谨。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结构较为合理、层次较为清晰、逻辑性较强、语言较为通顺、行文较为规范。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743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主题基本明确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内容基本恰当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应用课堂所学内容能力欠缺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基本符合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结课论文</w:t>
            </w:r>
            <w:r>
              <w:rPr>
                <w:rFonts w:hint="eastAsia"/>
                <w:color w:val="333333"/>
                <w:sz w:val="21"/>
                <w:szCs w:val="21"/>
              </w:rPr>
              <w:t>要求。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2.基本能做到理论联系实际，分析方法相对全面、完整、相对有自己的见解。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3.论点基本明确，论述相对深刻，论证相对严谨。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结构基本合理、层次比较清晰、逻辑性比较强、语言比较通顺、行文比较规范。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743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内容稍脱离主题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应用课堂所学内容能力欠缺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基本符合结课论文要求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2.基本能做到理论联系实际，分析方法基本全面、完整、基本能运用所学知识表达自己的观点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3.论点基本明确，论述不够深刻，论证不够严谨。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结构基本合理、层次基本能达到要求、逻辑性不强、语言基本通顺、行文基本规范。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743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内容脱离主题</w:t>
            </w:r>
            <w:r>
              <w:rPr>
                <w:rFonts w:hint="eastAsia"/>
                <w:color w:val="333333"/>
                <w:sz w:val="21"/>
                <w:szCs w:val="21"/>
              </w:rPr>
              <w:t>，不符合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结课论文</w:t>
            </w:r>
            <w:r>
              <w:rPr>
                <w:rFonts w:hint="eastAsia"/>
                <w:color w:val="333333"/>
                <w:sz w:val="21"/>
                <w:szCs w:val="21"/>
              </w:rPr>
              <w:t>要求。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2.不能做到理论联系实际，分析方法不全面、完整、不能运用所学知识表达自己的观点。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3.论点不明确，论述深刻，论证不严谨。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结构不合理、层次没有达到要求、逻辑性不强、语言不通顺、行文不规范。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被确认为抄袭、剽窃、套用他人成果或者请他人代笔。</w:t>
            </w:r>
          </w:p>
        </w:tc>
      </w:tr>
    </w:tbl>
    <w:p>
      <w:pPr>
        <w:spacing w:line="360" w:lineRule="auto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9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29"/>
        <w:gridCol w:w="6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/>
                <w:sz w:val="21"/>
                <w:szCs w:val="21"/>
              </w:rPr>
              <w:t>助教及以上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学历（位）：硕士及以上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周次：1-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节次：2</w:t>
            </w:r>
            <w:r>
              <w:rPr>
                <w:rFonts w:hint="eastAsia" w:cs="Times New Roman"/>
                <w:sz w:val="21"/>
                <w:szCs w:val="21"/>
              </w:rPr>
              <w:t>节/周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fldChar w:fldCharType="begin"/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instrText xml:space="preserve"> </w:instrTex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instrText xml:space="preserve">eq \o\ac(□,</w:instrText>
            </w:r>
            <w:r>
              <w:rPr>
                <w:rFonts w:hint="eastAsia" w:cs="Times New Roman" w:hAnsiTheme="minorEastAsia" w:eastAsiaTheme="minorEastAsia"/>
                <w:position w:val="1"/>
                <w:sz w:val="14"/>
                <w:szCs w:val="21"/>
              </w:rPr>
              <w:instrText xml:space="preserve">√</w:instrTex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instrText xml:space="preserve">)</w:instrTex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</w:t>
            </w:r>
            <w:bookmarkStart w:id="2" w:name="OLE_LINK12"/>
            <w:bookmarkStart w:id="3" w:name="OLE_LINK11"/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2"/>
            <w:bookmarkEnd w:id="3"/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室外场地  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□其他： 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>
            <w:pPr>
              <w:ind w:left="2100" w:hanging="2100" w:hangingChars="100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线上方式及时间安排：企业微信，任意上班时间</w:t>
            </w:r>
          </w:p>
          <w:p>
            <w:pPr>
              <w:ind w:left="2100" w:hanging="2100" w:hangingChars="100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线下地点及时间安排：上课教室，课间或课后</w:t>
            </w:r>
          </w:p>
        </w:tc>
      </w:tr>
    </w:tbl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315" w:firstLineChars="15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龙胜平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房地产金融与投资概论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[M].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instrText xml:space="preserve"> HYPERLINK "https://book.jd.com/publish/%E9%AB%98%E7%AD%89%E6%95%99%E8%82%B2%E5%87%BA%E7%89%88%E7%A4%BE_1.html" \o "高等教育出版社" \t "https://item.jd.com/_blank" </w:instrTex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，20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月</w:t>
      </w:r>
    </w:p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instrText xml:space="preserve"> HYPERLINK "https://book.jd.com/writer/%E4%B9%94%E5%BF%97%E6%95%8F%E5%AE%8B%E6%96%8C%E6%9D%8E%E5%BE%B7%E5%B3%B0_1.html" \t "https://item.jd.com/_blank" </w:instrTex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乔志敏</w: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房地产金融与投资</w: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立信会计出版社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，201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月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4"/>
          <w:szCs w:val="14"/>
          <w:shd w:val="clear" w:fill="FFFFFF"/>
        </w:rPr>
        <w:t> </w: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instrText xml:space="preserve"> HYPERLINK "https://book.jd.com/writer/%E5%A8%81%E5%BB%89%C2%B7B%E5%B8%83%E9%B2%81%E6%A0%BC%E6%9B%BC//%E6%9D%B0%E5%BC%97%E9%87%8C%C2%B7D%E8%B4%B9%E5%B8%8C%E5%B0%94|..._1.html" \t "https://item.jd.com/_blank" </w:instrTex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威廉·B布鲁格曼</w: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房地产金融与投资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[M].</w:t>
      </w:r>
      <w: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4"/>
          <w:szCs w:val="14"/>
          <w:shd w:val="clear" w:fill="FFFFFF"/>
        </w:rPr>
        <w:t> </w: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instrText xml:space="preserve"> HYPERLINK "https://book.jd.com/publish/%E4%B8%AD%E5%9B%BD%E4%BA%BA%E6%B0%91%E5%A4%A7%E5%AD%A6_1.html" \o "中国人民大学" \t "https://item.jd.com/_blank" </w:instrTex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default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出版社</w:t>
      </w:r>
      <w:r>
        <w:rPr>
          <w:rFonts w:hint="default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，202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月</w:t>
      </w:r>
    </w:p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中国网地产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"http://house.china.com.cn/"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http://house.china.com.cn/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default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国信房地产网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"http://www.crei.cn/"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http://www.crei.cn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网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"http://www.fangchan.com/"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http://www.fangchan.com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70" w:firstLineChars="270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黄小斌</w:t>
      </w:r>
    </w:p>
    <w:p>
      <w:pPr>
        <w:spacing w:line="360" w:lineRule="auto"/>
        <w:ind w:firstLine="5670" w:firstLineChars="270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赖沛东</w:t>
      </w:r>
    </w:p>
    <w:p>
      <w:pPr>
        <w:spacing w:line="360" w:lineRule="auto"/>
        <w:ind w:left="5720" w:leftChars="260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赖沛东</w:t>
      </w:r>
      <w:r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赖忠孝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7E"/>
    <w:rsid w:val="0000778F"/>
    <w:rsid w:val="00012E84"/>
    <w:rsid w:val="00013953"/>
    <w:rsid w:val="00021A67"/>
    <w:rsid w:val="00033D12"/>
    <w:rsid w:val="00045073"/>
    <w:rsid w:val="00077A3D"/>
    <w:rsid w:val="000A048C"/>
    <w:rsid w:val="000B4775"/>
    <w:rsid w:val="000C6904"/>
    <w:rsid w:val="000E211E"/>
    <w:rsid w:val="000F0640"/>
    <w:rsid w:val="000F1780"/>
    <w:rsid w:val="000F30C4"/>
    <w:rsid w:val="00106F7C"/>
    <w:rsid w:val="00111742"/>
    <w:rsid w:val="00122440"/>
    <w:rsid w:val="00124A9C"/>
    <w:rsid w:val="00125002"/>
    <w:rsid w:val="00127507"/>
    <w:rsid w:val="001310B0"/>
    <w:rsid w:val="00146F7A"/>
    <w:rsid w:val="00147A5E"/>
    <w:rsid w:val="00162C30"/>
    <w:rsid w:val="0016305E"/>
    <w:rsid w:val="00163496"/>
    <w:rsid w:val="00165CB5"/>
    <w:rsid w:val="0016752E"/>
    <w:rsid w:val="0017390E"/>
    <w:rsid w:val="0018460F"/>
    <w:rsid w:val="001934D2"/>
    <w:rsid w:val="001936FC"/>
    <w:rsid w:val="001953DD"/>
    <w:rsid w:val="00197AA8"/>
    <w:rsid w:val="001A2167"/>
    <w:rsid w:val="001C5C3C"/>
    <w:rsid w:val="001C66B4"/>
    <w:rsid w:val="001F1426"/>
    <w:rsid w:val="001F2B99"/>
    <w:rsid w:val="00203871"/>
    <w:rsid w:val="00212F50"/>
    <w:rsid w:val="00213944"/>
    <w:rsid w:val="00221910"/>
    <w:rsid w:val="00222DE6"/>
    <w:rsid w:val="00233B3D"/>
    <w:rsid w:val="00237201"/>
    <w:rsid w:val="00241B11"/>
    <w:rsid w:val="00241E82"/>
    <w:rsid w:val="00261302"/>
    <w:rsid w:val="00265434"/>
    <w:rsid w:val="00280856"/>
    <w:rsid w:val="0028547E"/>
    <w:rsid w:val="002957BF"/>
    <w:rsid w:val="002B4A39"/>
    <w:rsid w:val="002B4B3B"/>
    <w:rsid w:val="002C1C10"/>
    <w:rsid w:val="002E319A"/>
    <w:rsid w:val="002E4537"/>
    <w:rsid w:val="002E6BB6"/>
    <w:rsid w:val="002F0058"/>
    <w:rsid w:val="00303B23"/>
    <w:rsid w:val="003153DC"/>
    <w:rsid w:val="00330522"/>
    <w:rsid w:val="00331A3F"/>
    <w:rsid w:val="00341C68"/>
    <w:rsid w:val="00347F5B"/>
    <w:rsid w:val="00356060"/>
    <w:rsid w:val="00373549"/>
    <w:rsid w:val="00376DEE"/>
    <w:rsid w:val="0039491B"/>
    <w:rsid w:val="00396C0F"/>
    <w:rsid w:val="003A5D2E"/>
    <w:rsid w:val="003B1052"/>
    <w:rsid w:val="003B5563"/>
    <w:rsid w:val="003E0411"/>
    <w:rsid w:val="003F46E1"/>
    <w:rsid w:val="003F798B"/>
    <w:rsid w:val="004013E5"/>
    <w:rsid w:val="0041271F"/>
    <w:rsid w:val="0042268F"/>
    <w:rsid w:val="00430E47"/>
    <w:rsid w:val="00440EED"/>
    <w:rsid w:val="00446436"/>
    <w:rsid w:val="00447118"/>
    <w:rsid w:val="00460AB7"/>
    <w:rsid w:val="00461F9F"/>
    <w:rsid w:val="004673D1"/>
    <w:rsid w:val="00472694"/>
    <w:rsid w:val="00474919"/>
    <w:rsid w:val="00476096"/>
    <w:rsid w:val="00480154"/>
    <w:rsid w:val="00481E4C"/>
    <w:rsid w:val="00482D9C"/>
    <w:rsid w:val="004958E8"/>
    <w:rsid w:val="00496196"/>
    <w:rsid w:val="004A6A46"/>
    <w:rsid w:val="004C131B"/>
    <w:rsid w:val="004C218D"/>
    <w:rsid w:val="004C3AE4"/>
    <w:rsid w:val="004C3D42"/>
    <w:rsid w:val="004D3945"/>
    <w:rsid w:val="004D7C7C"/>
    <w:rsid w:val="004E012D"/>
    <w:rsid w:val="004E677A"/>
    <w:rsid w:val="004F0421"/>
    <w:rsid w:val="00504142"/>
    <w:rsid w:val="00515A6F"/>
    <w:rsid w:val="005271DA"/>
    <w:rsid w:val="00532EF1"/>
    <w:rsid w:val="0055241D"/>
    <w:rsid w:val="00565E8D"/>
    <w:rsid w:val="0056641A"/>
    <w:rsid w:val="00577ADA"/>
    <w:rsid w:val="0059035C"/>
    <w:rsid w:val="0059378D"/>
    <w:rsid w:val="005A094B"/>
    <w:rsid w:val="005B09C9"/>
    <w:rsid w:val="005B3EB3"/>
    <w:rsid w:val="005B5261"/>
    <w:rsid w:val="005C2720"/>
    <w:rsid w:val="005D02D4"/>
    <w:rsid w:val="005D3F34"/>
    <w:rsid w:val="005D60C0"/>
    <w:rsid w:val="005F1560"/>
    <w:rsid w:val="006002C1"/>
    <w:rsid w:val="00603B1B"/>
    <w:rsid w:val="00613EF7"/>
    <w:rsid w:val="00633492"/>
    <w:rsid w:val="00641E70"/>
    <w:rsid w:val="00653D16"/>
    <w:rsid w:val="006756E2"/>
    <w:rsid w:val="006B2125"/>
    <w:rsid w:val="006B28F4"/>
    <w:rsid w:val="006C753E"/>
    <w:rsid w:val="006E0BA0"/>
    <w:rsid w:val="006E1FEF"/>
    <w:rsid w:val="006E27D5"/>
    <w:rsid w:val="006E7813"/>
    <w:rsid w:val="006F7EF8"/>
    <w:rsid w:val="007058AE"/>
    <w:rsid w:val="007453A7"/>
    <w:rsid w:val="00761C1F"/>
    <w:rsid w:val="00762C4B"/>
    <w:rsid w:val="00774B96"/>
    <w:rsid w:val="00787F7A"/>
    <w:rsid w:val="007901DA"/>
    <w:rsid w:val="00792CFB"/>
    <w:rsid w:val="007A53D9"/>
    <w:rsid w:val="007A67E4"/>
    <w:rsid w:val="007A6841"/>
    <w:rsid w:val="007B2484"/>
    <w:rsid w:val="007B3878"/>
    <w:rsid w:val="007B61AE"/>
    <w:rsid w:val="007B7D6B"/>
    <w:rsid w:val="007D34B1"/>
    <w:rsid w:val="007D59E5"/>
    <w:rsid w:val="007D5B0F"/>
    <w:rsid w:val="007E4FEE"/>
    <w:rsid w:val="007F0FD9"/>
    <w:rsid w:val="007F3F24"/>
    <w:rsid w:val="0080010A"/>
    <w:rsid w:val="00813875"/>
    <w:rsid w:val="0083307C"/>
    <w:rsid w:val="00852E4E"/>
    <w:rsid w:val="00861A77"/>
    <w:rsid w:val="008661F3"/>
    <w:rsid w:val="00874C79"/>
    <w:rsid w:val="008831CB"/>
    <w:rsid w:val="00885EA9"/>
    <w:rsid w:val="008A2932"/>
    <w:rsid w:val="008A42CE"/>
    <w:rsid w:val="008C19A3"/>
    <w:rsid w:val="008C6D0A"/>
    <w:rsid w:val="008E2935"/>
    <w:rsid w:val="008E7367"/>
    <w:rsid w:val="0091067A"/>
    <w:rsid w:val="00912CEF"/>
    <w:rsid w:val="00933EF3"/>
    <w:rsid w:val="00946F6B"/>
    <w:rsid w:val="0095686F"/>
    <w:rsid w:val="00977108"/>
    <w:rsid w:val="00986939"/>
    <w:rsid w:val="00990C8E"/>
    <w:rsid w:val="00991AFE"/>
    <w:rsid w:val="009A16E0"/>
    <w:rsid w:val="009C3896"/>
    <w:rsid w:val="009D298F"/>
    <w:rsid w:val="009E4608"/>
    <w:rsid w:val="00A02901"/>
    <w:rsid w:val="00A12672"/>
    <w:rsid w:val="00A20EEC"/>
    <w:rsid w:val="00A27E26"/>
    <w:rsid w:val="00A43458"/>
    <w:rsid w:val="00A50651"/>
    <w:rsid w:val="00A50BAF"/>
    <w:rsid w:val="00A848BC"/>
    <w:rsid w:val="00A8551E"/>
    <w:rsid w:val="00AA7435"/>
    <w:rsid w:val="00AB2496"/>
    <w:rsid w:val="00AB24B7"/>
    <w:rsid w:val="00AC5AFD"/>
    <w:rsid w:val="00AE030B"/>
    <w:rsid w:val="00AE148D"/>
    <w:rsid w:val="00AE4D4A"/>
    <w:rsid w:val="00AE78C5"/>
    <w:rsid w:val="00AF514E"/>
    <w:rsid w:val="00AF7A5C"/>
    <w:rsid w:val="00B062E4"/>
    <w:rsid w:val="00B06A17"/>
    <w:rsid w:val="00B1044F"/>
    <w:rsid w:val="00B314F3"/>
    <w:rsid w:val="00B46BAD"/>
    <w:rsid w:val="00B54478"/>
    <w:rsid w:val="00B5528F"/>
    <w:rsid w:val="00B8156F"/>
    <w:rsid w:val="00B82559"/>
    <w:rsid w:val="00B90611"/>
    <w:rsid w:val="00BA137B"/>
    <w:rsid w:val="00BA1C0A"/>
    <w:rsid w:val="00BD4DF8"/>
    <w:rsid w:val="00BF77A6"/>
    <w:rsid w:val="00C11A48"/>
    <w:rsid w:val="00C142F0"/>
    <w:rsid w:val="00C16B53"/>
    <w:rsid w:val="00C430AA"/>
    <w:rsid w:val="00C5470B"/>
    <w:rsid w:val="00C55E28"/>
    <w:rsid w:val="00C61AA3"/>
    <w:rsid w:val="00C6458B"/>
    <w:rsid w:val="00C668E9"/>
    <w:rsid w:val="00C76C59"/>
    <w:rsid w:val="00C85345"/>
    <w:rsid w:val="00C91AC7"/>
    <w:rsid w:val="00C9683E"/>
    <w:rsid w:val="00CA103F"/>
    <w:rsid w:val="00CC3736"/>
    <w:rsid w:val="00CD2D6B"/>
    <w:rsid w:val="00CD537B"/>
    <w:rsid w:val="00CD6A89"/>
    <w:rsid w:val="00CE187F"/>
    <w:rsid w:val="00CF384C"/>
    <w:rsid w:val="00D05C60"/>
    <w:rsid w:val="00D07D84"/>
    <w:rsid w:val="00D33A4A"/>
    <w:rsid w:val="00D35A9C"/>
    <w:rsid w:val="00D36971"/>
    <w:rsid w:val="00D404B5"/>
    <w:rsid w:val="00D430C2"/>
    <w:rsid w:val="00D64208"/>
    <w:rsid w:val="00D65F69"/>
    <w:rsid w:val="00D82412"/>
    <w:rsid w:val="00D92E3B"/>
    <w:rsid w:val="00D97404"/>
    <w:rsid w:val="00DA7F32"/>
    <w:rsid w:val="00DB4382"/>
    <w:rsid w:val="00DC3D0A"/>
    <w:rsid w:val="00DC689D"/>
    <w:rsid w:val="00DE50FB"/>
    <w:rsid w:val="00E07A91"/>
    <w:rsid w:val="00E17F13"/>
    <w:rsid w:val="00E26395"/>
    <w:rsid w:val="00E41EF4"/>
    <w:rsid w:val="00E42C88"/>
    <w:rsid w:val="00E56FF4"/>
    <w:rsid w:val="00E6610D"/>
    <w:rsid w:val="00E71E7D"/>
    <w:rsid w:val="00E973D2"/>
    <w:rsid w:val="00EA0EDA"/>
    <w:rsid w:val="00EB6D61"/>
    <w:rsid w:val="00EE1E10"/>
    <w:rsid w:val="00EF0A67"/>
    <w:rsid w:val="00EF5963"/>
    <w:rsid w:val="00F06DF4"/>
    <w:rsid w:val="00F152CD"/>
    <w:rsid w:val="00F2103B"/>
    <w:rsid w:val="00F26834"/>
    <w:rsid w:val="00F37CD9"/>
    <w:rsid w:val="00F406EF"/>
    <w:rsid w:val="00F42719"/>
    <w:rsid w:val="00F51C2A"/>
    <w:rsid w:val="00F53E21"/>
    <w:rsid w:val="00F60054"/>
    <w:rsid w:val="00F75D7C"/>
    <w:rsid w:val="00F90CCE"/>
    <w:rsid w:val="00FA2C27"/>
    <w:rsid w:val="00FB0735"/>
    <w:rsid w:val="00FD5376"/>
    <w:rsid w:val="00FE6421"/>
    <w:rsid w:val="00FE6C5B"/>
    <w:rsid w:val="00FF0C62"/>
    <w:rsid w:val="00FF57F6"/>
    <w:rsid w:val="16640563"/>
    <w:rsid w:val="274F4DB1"/>
    <w:rsid w:val="32F42793"/>
    <w:rsid w:val="33C33566"/>
    <w:rsid w:val="48815CF7"/>
    <w:rsid w:val="4AE47B15"/>
    <w:rsid w:val="570B3C61"/>
    <w:rsid w:val="5E771BF9"/>
    <w:rsid w:val="5FF03007"/>
    <w:rsid w:val="616E3C97"/>
    <w:rsid w:val="F32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annotation subject"/>
    <w:basedOn w:val="2"/>
    <w:next w:val="2"/>
    <w:link w:val="20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="宋体" w:hAnsi="宋体" w:eastAsia="宋体" w:cs="宋体"/>
      <w:kern w:val="0"/>
      <w:sz w:val="22"/>
      <w:szCs w:val="22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论文规范一级标题 Char"/>
    <w:basedOn w:val="10"/>
    <w:link w:val="17"/>
    <w:qFormat/>
    <w:locked/>
    <w:uiPriority w:val="0"/>
    <w:rPr>
      <w:rFonts w:ascii="Cambria" w:hAnsi="Cambria"/>
      <w:b/>
      <w:bCs/>
      <w:sz w:val="32"/>
      <w:szCs w:val="32"/>
    </w:rPr>
  </w:style>
  <w:style w:type="paragraph" w:customStyle="1" w:styleId="17">
    <w:name w:val="论文规范一级标题"/>
    <w:basedOn w:val="6"/>
    <w:link w:val="16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18">
    <w:name w:val="标题 字符"/>
    <w:basedOn w:val="10"/>
    <w:link w:val="6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9">
    <w:name w:val="Placeholder Text"/>
    <w:basedOn w:val="10"/>
    <w:semiHidden/>
    <w:qFormat/>
    <w:uiPriority w:val="99"/>
    <w:rPr>
      <w:color w:val="808080"/>
    </w:rPr>
  </w:style>
  <w:style w:type="character" w:customStyle="1" w:styleId="20">
    <w:name w:val="批注主题 字符"/>
    <w:basedOn w:val="14"/>
    <w:link w:val="7"/>
    <w:semiHidden/>
    <w:qFormat/>
    <w:uiPriority w:val="99"/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2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22">
    <w:name w:val="页眉 字符"/>
    <w:basedOn w:val="10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3">
    <w:name w:val="页脚 字符"/>
    <w:basedOn w:val="10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4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3991</Words>
  <Characters>4258</Characters>
  <Lines>36</Lines>
  <Paragraphs>10</Paragraphs>
  <TotalTime>10</TotalTime>
  <ScaleCrop>false</ScaleCrop>
  <LinksUpToDate>false</LinksUpToDate>
  <CharactersWithSpaces>4370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2022-02-23T11:14:00Z</dcterms:created>
  <dc:creator>Huijun MO</dc:creator>
  <cp:lastModifiedBy>东</cp:lastModifiedBy>
  <dcterms:modified xsi:type="dcterms:W3CDTF">2022-03-19T01:43:44Z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2052-11.1.0.11365</vt:lpwstr>
  </property>
  <property fmtid="{D5CDD505-2E9C-101B-9397-08002B2CF9AE}" pid="4" name="ICV">
    <vt:lpwstr>2D17108EB5444DBE838E995FD905D0A5</vt:lpwstr>
  </property>
</Properties>
</file>